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506B07" w:rsidRDefault="0063295E" w:rsidP="00B72322">
      <w:pPr>
        <w:spacing w:before="240" w:after="240" w:line="360" w:lineRule="auto"/>
        <w:jc w:val="right"/>
        <w:rPr>
          <w:rFonts w:ascii="Palatino Linotype" w:hAnsi="Palatino Linotype"/>
          <w:b/>
        </w:rPr>
      </w:pPr>
      <w:r>
        <w:rPr>
          <w:rFonts w:ascii="Palatino Linotype" w:hAnsi="Palatino Linotype"/>
          <w:b/>
        </w:rPr>
        <w:t>Metepec, México.</w:t>
      </w:r>
    </w:p>
    <w:p w:rsidR="00B72322" w:rsidRPr="005E3752" w:rsidRDefault="00253517" w:rsidP="00B72322">
      <w:pPr>
        <w:spacing w:before="240" w:after="240" w:line="360" w:lineRule="auto"/>
        <w:jc w:val="right"/>
        <w:rPr>
          <w:rFonts w:ascii="Palatino Linotype" w:hAnsi="Palatino Linotype"/>
          <w:b/>
        </w:rPr>
      </w:pPr>
      <w:r>
        <w:rPr>
          <w:rFonts w:ascii="Palatino Linotype" w:hAnsi="Palatino Linotype"/>
          <w:b/>
        </w:rPr>
        <w:t>Noviembre</w:t>
      </w:r>
      <w:r w:rsidR="005604F4">
        <w:rPr>
          <w:rFonts w:ascii="Palatino Linotype" w:hAnsi="Palatino Linotype"/>
          <w:b/>
        </w:rPr>
        <w:t xml:space="preserve"> </w:t>
      </w:r>
      <w:r>
        <w:rPr>
          <w:rFonts w:ascii="Palatino Linotype" w:hAnsi="Palatino Linotype"/>
          <w:b/>
        </w:rPr>
        <w:t>26</w:t>
      </w:r>
      <w:r w:rsidR="004C7C6B" w:rsidRPr="005E3752">
        <w:rPr>
          <w:rFonts w:ascii="Palatino Linotype" w:hAnsi="Palatino Linotype"/>
          <w:b/>
        </w:rPr>
        <w:t xml:space="preserve"> de 201</w:t>
      </w:r>
      <w:r w:rsidR="00DD7777">
        <w:rPr>
          <w:rFonts w:ascii="Palatino Linotype" w:hAnsi="Palatino Linotype"/>
          <w:b/>
        </w:rPr>
        <w:t>8</w:t>
      </w:r>
    </w:p>
    <w:p w:rsidR="00B72322" w:rsidRPr="00C8776C" w:rsidRDefault="00B72322" w:rsidP="00B72322">
      <w:pPr>
        <w:spacing w:before="240" w:after="240" w:line="360" w:lineRule="auto"/>
        <w:jc w:val="both"/>
        <w:rPr>
          <w:rFonts w:ascii="Palatino Linotype" w:hAnsi="Palatino Linotype"/>
          <w:b/>
        </w:rPr>
      </w:pPr>
      <w:r w:rsidRPr="005E3752">
        <w:rPr>
          <w:b/>
          <w:noProof/>
          <w:lang w:eastAsia="es-MX"/>
        </w:rPr>
        <mc:AlternateContent>
          <mc:Choice Requires="wps">
            <w:drawing>
              <wp:anchor distT="0" distB="0" distL="114300" distR="114300" simplePos="0" relativeHeight="251659264" behindDoc="1" locked="0" layoutInCell="0" allowOverlap="1" wp14:anchorId="6D430A1A" wp14:editId="3FE78913">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C8776C">
                              <w:rPr>
                                <w:rFonts w:ascii="Palatino Linotype" w:hAnsi="Palatino Linotype"/>
                                <w:color w:val="A6A6A6" w:themeColor="background1" w:themeShade="A6"/>
                                <w:sz w:val="72"/>
                                <w:szCs w:val="72"/>
                                <w14:textFill>
                                  <w14:solidFill>
                                    <w14:schemeClr w14:val="bg1">
                                      <w14:alpha w14:val="50000"/>
                                      <w14:lumMod w14:val="65000"/>
                                    </w14:schemeClr>
                                  </w14:solidFill>
                                </w14:textFill>
                              </w:rPr>
                              <w:t>DISIDENTE</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430A1A"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w:t>
                      </w:r>
                      <w:r w:rsidR="00C8776C">
                        <w:rPr>
                          <w:rFonts w:ascii="Palatino Linotype" w:hAnsi="Palatino Linotype"/>
                          <w:color w:val="A6A6A6" w:themeColor="background1" w:themeShade="A6"/>
                          <w:sz w:val="72"/>
                          <w:szCs w:val="72"/>
                          <w14:textFill>
                            <w14:solidFill>
                              <w14:schemeClr w14:val="bg1">
                                <w14:alpha w14:val="50000"/>
                                <w14:lumMod w14:val="65000"/>
                              </w14:schemeClr>
                            </w14:solidFill>
                          </w14:textFill>
                        </w:rPr>
                        <w:t>DISIDENTE</w:t>
                      </w: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 </w:t>
                      </w:r>
                    </w:p>
                  </w:txbxContent>
                </v:textbox>
                <w10:wrap anchorx="margin" anchory="margin"/>
              </v:shape>
            </w:pict>
          </mc:Fallback>
        </mc:AlternateContent>
      </w:r>
      <w:r w:rsidRPr="005E3752">
        <w:rPr>
          <w:rFonts w:ascii="Palatino Linotype" w:hAnsi="Palatino Linotype"/>
          <w:b/>
        </w:rPr>
        <w:t xml:space="preserve">VOTO </w:t>
      </w:r>
      <w:r w:rsidR="00903763">
        <w:rPr>
          <w:rFonts w:ascii="Palatino Linotype" w:hAnsi="Palatino Linotype"/>
          <w:b/>
        </w:rPr>
        <w:t>DISIDENTE</w:t>
      </w:r>
      <w:r w:rsidRPr="005E3752">
        <w:rPr>
          <w:rFonts w:ascii="Palatino Linotype" w:hAnsi="Palatino Linotype"/>
          <w:b/>
        </w:rPr>
        <w:t xml:space="preserve"> </w:t>
      </w:r>
      <w:r w:rsidR="004C7C6B" w:rsidRPr="005E3752">
        <w:rPr>
          <w:rFonts w:ascii="Palatino Linotype" w:hAnsi="Palatino Linotype"/>
          <w:b/>
        </w:rPr>
        <w:t>QUE FORMULA</w:t>
      </w:r>
      <w:r w:rsidRPr="005E3752">
        <w:rPr>
          <w:rFonts w:ascii="Palatino Linotype" w:hAnsi="Palatino Linotype"/>
          <w:b/>
        </w:rPr>
        <w:t xml:space="preserve"> EL COMISIONADO JAVIER MARTÍNEZ CRUZ, EN RELACIÓN CON LA RESOLUCIÓN DICTADA POR EL PLENO DEL INSTITUTO DE TRANSPARENCIA, ACCESO A LA INFORMACIÓN PÚBLICA Y PROTECCIÓN DE DATOS PERSONALES DEL ESTADO DE MÉXICO Y MUNICIPIOS, EN LA </w:t>
      </w:r>
      <w:r w:rsidR="00AB527C">
        <w:rPr>
          <w:rFonts w:ascii="Palatino Linotype" w:hAnsi="Palatino Linotype"/>
          <w:b/>
        </w:rPr>
        <w:t>CUADRAGÉSIMA TERCERA</w:t>
      </w:r>
      <w:r w:rsidRPr="00C8776C">
        <w:rPr>
          <w:rFonts w:ascii="Palatino Linotype" w:hAnsi="Palatino Linotype"/>
          <w:b/>
        </w:rPr>
        <w:t xml:space="preserve"> SESIÓN ORDINARIA DEL </w:t>
      </w:r>
      <w:r w:rsidR="00656A53" w:rsidRPr="00C8776C">
        <w:rPr>
          <w:rFonts w:ascii="Palatino Linotype" w:hAnsi="Palatino Linotype"/>
          <w:b/>
        </w:rPr>
        <w:t>VEINTI</w:t>
      </w:r>
      <w:r w:rsidR="00AB527C">
        <w:rPr>
          <w:rFonts w:ascii="Palatino Linotype" w:hAnsi="Palatino Linotype"/>
          <w:b/>
        </w:rPr>
        <w:t>DÓS</w:t>
      </w:r>
      <w:r w:rsidR="00656A53" w:rsidRPr="00C8776C">
        <w:rPr>
          <w:rFonts w:ascii="Palatino Linotype" w:hAnsi="Palatino Linotype"/>
          <w:b/>
        </w:rPr>
        <w:t xml:space="preserve"> </w:t>
      </w:r>
      <w:r w:rsidR="005604F4" w:rsidRPr="00C8776C">
        <w:rPr>
          <w:rFonts w:ascii="Palatino Linotype" w:hAnsi="Palatino Linotype"/>
          <w:b/>
        </w:rPr>
        <w:t xml:space="preserve">DE </w:t>
      </w:r>
      <w:r w:rsidR="00AB527C">
        <w:rPr>
          <w:rFonts w:ascii="Palatino Linotype" w:hAnsi="Palatino Linotype"/>
          <w:b/>
        </w:rPr>
        <w:t>NOVIEMBRE</w:t>
      </w:r>
      <w:r w:rsidR="00656A53" w:rsidRPr="00C8776C">
        <w:rPr>
          <w:rFonts w:ascii="Palatino Linotype" w:hAnsi="Palatino Linotype"/>
          <w:b/>
        </w:rPr>
        <w:t xml:space="preserve"> </w:t>
      </w:r>
      <w:r w:rsidRPr="00C8776C">
        <w:rPr>
          <w:rFonts w:ascii="Palatino Linotype" w:hAnsi="Palatino Linotype"/>
          <w:b/>
        </w:rPr>
        <w:t xml:space="preserve">DE DOS MIL </w:t>
      </w:r>
      <w:r w:rsidR="0043077C" w:rsidRPr="00C8776C">
        <w:rPr>
          <w:rFonts w:ascii="Palatino Linotype" w:hAnsi="Palatino Linotype"/>
          <w:b/>
        </w:rPr>
        <w:t>DIECI</w:t>
      </w:r>
      <w:r w:rsidR="00656A53" w:rsidRPr="00C8776C">
        <w:rPr>
          <w:rFonts w:ascii="Palatino Linotype" w:hAnsi="Palatino Linotype"/>
          <w:b/>
        </w:rPr>
        <w:t>OCHO</w:t>
      </w:r>
      <w:r w:rsidR="0043077C" w:rsidRPr="00C8776C">
        <w:rPr>
          <w:rFonts w:ascii="Palatino Linotype" w:hAnsi="Palatino Linotype"/>
          <w:b/>
        </w:rPr>
        <w:t>, EN EL</w:t>
      </w:r>
      <w:r w:rsidRPr="00C8776C">
        <w:rPr>
          <w:rFonts w:ascii="Palatino Linotype" w:hAnsi="Palatino Linotype"/>
          <w:b/>
        </w:rPr>
        <w:t xml:space="preserve"> RECURSO DE REVISIÓN </w:t>
      </w:r>
      <w:r w:rsidR="003D235F" w:rsidRPr="00C8776C">
        <w:rPr>
          <w:rFonts w:ascii="Palatino Linotype" w:hAnsi="Palatino Linotype"/>
          <w:b/>
        </w:rPr>
        <w:t>0</w:t>
      </w:r>
      <w:r w:rsidR="00AB527C">
        <w:rPr>
          <w:rFonts w:ascii="Palatino Linotype" w:hAnsi="Palatino Linotype"/>
          <w:b/>
        </w:rPr>
        <w:t>2773/INFOEM/IP</w:t>
      </w:r>
      <w:r w:rsidR="005765BC" w:rsidRPr="00C8776C">
        <w:rPr>
          <w:rFonts w:ascii="Palatino Linotype" w:hAnsi="Palatino Linotype"/>
          <w:b/>
        </w:rPr>
        <w:t>/RR/201</w:t>
      </w:r>
      <w:r w:rsidR="00656A53" w:rsidRPr="00C8776C">
        <w:rPr>
          <w:rFonts w:ascii="Palatino Linotype" w:hAnsi="Palatino Linotype"/>
          <w:b/>
        </w:rPr>
        <w:t>8</w:t>
      </w:r>
      <w:r w:rsidR="002F5A16">
        <w:rPr>
          <w:rFonts w:ascii="Palatino Linotype" w:hAnsi="Palatino Linotype"/>
          <w:b/>
        </w:rPr>
        <w:t xml:space="preserve"> Y ACUMULADOS</w:t>
      </w:r>
      <w:r w:rsidRPr="00C8776C">
        <w:rPr>
          <w:rFonts w:ascii="Palatino Linotype" w:hAnsi="Palatino Linotype"/>
          <w:b/>
        </w:rPr>
        <w:t>.</w:t>
      </w:r>
      <w:r w:rsidRPr="00C8776C">
        <w:rPr>
          <w:b/>
          <w:noProof/>
          <w:lang w:eastAsia="es-MX"/>
        </w:rPr>
        <w:t xml:space="preserve"> </w:t>
      </w:r>
    </w:p>
    <w:p w:rsidR="00B72322" w:rsidRPr="005E3752" w:rsidRDefault="00B72322" w:rsidP="00B72322">
      <w:pPr>
        <w:spacing w:before="240" w:after="240" w:line="360" w:lineRule="auto"/>
        <w:jc w:val="both"/>
        <w:rPr>
          <w:rFonts w:ascii="Palatino Linotype" w:hAnsi="Palatino Linotype"/>
        </w:rPr>
      </w:pPr>
      <w:r w:rsidRPr="00C8776C">
        <w:rPr>
          <w:rFonts w:ascii="Palatino Linotype" w:hAnsi="Palatino Linotype"/>
        </w:rPr>
        <w:t xml:space="preserve">El Pleno del Instituto de Transparencia, Acceso a la Información Pública y Protección de Datos Personales del Estado de México resolvió por </w:t>
      </w:r>
      <w:r w:rsidR="002261E8" w:rsidRPr="00C8776C">
        <w:rPr>
          <w:rFonts w:ascii="Palatino Linotype" w:hAnsi="Palatino Linotype"/>
        </w:rPr>
        <w:t>mayoría</w:t>
      </w:r>
      <w:r w:rsidRPr="00C8776C">
        <w:rPr>
          <w:rFonts w:ascii="Palatino Linotype" w:hAnsi="Palatino Linotype"/>
        </w:rPr>
        <w:t xml:space="preserve"> de voto</w:t>
      </w:r>
      <w:r w:rsidR="0043077C" w:rsidRPr="00C8776C">
        <w:rPr>
          <w:rFonts w:ascii="Palatino Linotype" w:hAnsi="Palatino Linotype"/>
        </w:rPr>
        <w:t>s,  la resolución relativa a</w:t>
      </w:r>
      <w:r w:rsidR="00A45529">
        <w:rPr>
          <w:rFonts w:ascii="Palatino Linotype" w:hAnsi="Palatino Linotype"/>
        </w:rPr>
        <w:t xml:space="preserve"> </w:t>
      </w:r>
      <w:r w:rsidR="0043077C" w:rsidRPr="00C8776C">
        <w:rPr>
          <w:rFonts w:ascii="Palatino Linotype" w:hAnsi="Palatino Linotype"/>
        </w:rPr>
        <w:t>l</w:t>
      </w:r>
      <w:r w:rsidR="00A45529">
        <w:rPr>
          <w:rFonts w:ascii="Palatino Linotype" w:hAnsi="Palatino Linotype"/>
        </w:rPr>
        <w:t>os</w:t>
      </w:r>
      <w:r w:rsidR="00BA0C02">
        <w:rPr>
          <w:rFonts w:ascii="Palatino Linotype" w:hAnsi="Palatino Linotype"/>
        </w:rPr>
        <w:t xml:space="preserve"> recurso</w:t>
      </w:r>
      <w:r w:rsidR="00A45529">
        <w:rPr>
          <w:rFonts w:ascii="Palatino Linotype" w:hAnsi="Palatino Linotype"/>
        </w:rPr>
        <w:t>s</w:t>
      </w:r>
      <w:r w:rsidR="00BA0C02">
        <w:rPr>
          <w:rFonts w:ascii="Palatino Linotype" w:hAnsi="Palatino Linotype"/>
        </w:rPr>
        <w:t xml:space="preserve"> de revisión </w:t>
      </w:r>
      <w:r w:rsidR="00656A53" w:rsidRPr="00C8776C">
        <w:rPr>
          <w:rFonts w:ascii="Palatino Linotype" w:hAnsi="Palatino Linotype" w:cs="Arial"/>
          <w:bCs/>
          <w:lang w:eastAsia="es-MX"/>
        </w:rPr>
        <w:t>0</w:t>
      </w:r>
      <w:r w:rsidR="00BA0C02">
        <w:rPr>
          <w:rFonts w:ascii="Palatino Linotype" w:hAnsi="Palatino Linotype" w:cs="Arial"/>
          <w:bCs/>
          <w:lang w:eastAsia="es-MX"/>
        </w:rPr>
        <w:t>2773</w:t>
      </w:r>
      <w:r w:rsidR="00146F5D" w:rsidRPr="00C8776C">
        <w:rPr>
          <w:rFonts w:ascii="Palatino Linotype" w:hAnsi="Palatino Linotype" w:cs="Arial"/>
          <w:bCs/>
          <w:lang w:eastAsia="es-MX"/>
        </w:rPr>
        <w:t>/INFOEM/</w:t>
      </w:r>
      <w:r w:rsidR="00BA0C02">
        <w:rPr>
          <w:rFonts w:ascii="Palatino Linotype" w:hAnsi="Palatino Linotype" w:cs="Arial"/>
          <w:bCs/>
          <w:lang w:eastAsia="es-MX"/>
        </w:rPr>
        <w:t>IP</w:t>
      </w:r>
      <w:r w:rsidR="00146F5D" w:rsidRPr="00C8776C">
        <w:rPr>
          <w:rFonts w:ascii="Palatino Linotype" w:hAnsi="Palatino Linotype" w:cs="Arial"/>
          <w:bCs/>
          <w:lang w:eastAsia="es-MX"/>
        </w:rPr>
        <w:t>/RR/201</w:t>
      </w:r>
      <w:r w:rsidR="00656A53" w:rsidRPr="00C8776C">
        <w:rPr>
          <w:rFonts w:ascii="Palatino Linotype" w:hAnsi="Palatino Linotype" w:cs="Arial"/>
          <w:bCs/>
          <w:lang w:eastAsia="es-MX"/>
        </w:rPr>
        <w:t>8</w:t>
      </w:r>
      <w:r w:rsidR="00A45529">
        <w:rPr>
          <w:rFonts w:ascii="Palatino Linotype" w:hAnsi="Palatino Linotype" w:cs="Arial"/>
          <w:bCs/>
          <w:lang w:eastAsia="es-MX"/>
        </w:rPr>
        <w:t xml:space="preserve">, </w:t>
      </w:r>
      <w:r w:rsidR="00A45529" w:rsidRPr="00C8776C">
        <w:rPr>
          <w:rFonts w:ascii="Palatino Linotype" w:hAnsi="Palatino Linotype" w:cs="Arial"/>
          <w:bCs/>
          <w:lang w:eastAsia="es-MX"/>
        </w:rPr>
        <w:t>0</w:t>
      </w:r>
      <w:r w:rsidR="00A45529">
        <w:rPr>
          <w:rFonts w:ascii="Palatino Linotype" w:hAnsi="Palatino Linotype" w:cs="Arial"/>
          <w:bCs/>
          <w:lang w:eastAsia="es-MX"/>
        </w:rPr>
        <w:t>2774</w:t>
      </w:r>
      <w:r w:rsidR="00A45529" w:rsidRPr="00C8776C">
        <w:rPr>
          <w:rFonts w:ascii="Palatino Linotype" w:hAnsi="Palatino Linotype" w:cs="Arial"/>
          <w:bCs/>
          <w:lang w:eastAsia="es-MX"/>
        </w:rPr>
        <w:t>/INFOEM/</w:t>
      </w:r>
      <w:r w:rsidR="00A45529">
        <w:rPr>
          <w:rFonts w:ascii="Palatino Linotype" w:hAnsi="Palatino Linotype" w:cs="Arial"/>
          <w:bCs/>
          <w:lang w:eastAsia="es-MX"/>
        </w:rPr>
        <w:t>IP</w:t>
      </w:r>
      <w:r w:rsidR="00A45529" w:rsidRPr="00C8776C">
        <w:rPr>
          <w:rFonts w:ascii="Palatino Linotype" w:hAnsi="Palatino Linotype" w:cs="Arial"/>
          <w:bCs/>
          <w:lang w:eastAsia="es-MX"/>
        </w:rPr>
        <w:t>/RR/2018</w:t>
      </w:r>
      <w:r w:rsidR="00A45529">
        <w:rPr>
          <w:rFonts w:ascii="Palatino Linotype" w:hAnsi="Palatino Linotype" w:cs="Arial"/>
          <w:bCs/>
          <w:lang w:eastAsia="es-MX"/>
        </w:rPr>
        <w:t xml:space="preserve"> y </w:t>
      </w:r>
      <w:r w:rsidR="00A45529" w:rsidRPr="00C8776C">
        <w:rPr>
          <w:rFonts w:ascii="Palatino Linotype" w:hAnsi="Palatino Linotype" w:cs="Arial"/>
          <w:bCs/>
          <w:lang w:eastAsia="es-MX"/>
        </w:rPr>
        <w:t>0</w:t>
      </w:r>
      <w:r w:rsidR="00A45529">
        <w:rPr>
          <w:rFonts w:ascii="Palatino Linotype" w:hAnsi="Palatino Linotype" w:cs="Arial"/>
          <w:bCs/>
          <w:lang w:eastAsia="es-MX"/>
        </w:rPr>
        <w:t>2775</w:t>
      </w:r>
      <w:r w:rsidR="00A45529" w:rsidRPr="00C8776C">
        <w:rPr>
          <w:rFonts w:ascii="Palatino Linotype" w:hAnsi="Palatino Linotype" w:cs="Arial"/>
          <w:bCs/>
          <w:lang w:eastAsia="es-MX"/>
        </w:rPr>
        <w:t>/INFOEM/</w:t>
      </w:r>
      <w:r w:rsidR="00A45529">
        <w:rPr>
          <w:rFonts w:ascii="Palatino Linotype" w:hAnsi="Palatino Linotype" w:cs="Arial"/>
          <w:bCs/>
          <w:lang w:eastAsia="es-MX"/>
        </w:rPr>
        <w:t>IP</w:t>
      </w:r>
      <w:r w:rsidR="00A45529" w:rsidRPr="00C8776C">
        <w:rPr>
          <w:rFonts w:ascii="Palatino Linotype" w:hAnsi="Palatino Linotype" w:cs="Arial"/>
          <w:bCs/>
          <w:lang w:eastAsia="es-MX"/>
        </w:rPr>
        <w:t>/RR/2018</w:t>
      </w:r>
      <w:r w:rsidR="00A45529">
        <w:rPr>
          <w:rFonts w:ascii="Palatino Linotype" w:hAnsi="Palatino Linotype" w:cs="Arial"/>
          <w:bCs/>
          <w:lang w:eastAsia="es-MX"/>
        </w:rPr>
        <w:t xml:space="preserve"> acumulados,</w:t>
      </w:r>
      <w:r w:rsidR="00146F5D" w:rsidRPr="00C8776C">
        <w:rPr>
          <w:rFonts w:ascii="Palatino Linotype" w:hAnsi="Palatino Linotype" w:cs="Arial"/>
          <w:bCs/>
          <w:lang w:eastAsia="es-MX"/>
        </w:rPr>
        <w:t xml:space="preserve"> </w:t>
      </w:r>
      <w:r w:rsidR="00AC664A" w:rsidRPr="00C8776C">
        <w:rPr>
          <w:rFonts w:ascii="Palatino Linotype" w:hAnsi="Palatino Linotype"/>
        </w:rPr>
        <w:t>presentada</w:t>
      </w:r>
      <w:r w:rsidR="00AC664A">
        <w:rPr>
          <w:rFonts w:ascii="Palatino Linotype" w:hAnsi="Palatino Linotype"/>
        </w:rPr>
        <w:t xml:space="preserve"> por </w:t>
      </w:r>
      <w:r w:rsidR="00146F5D" w:rsidRPr="005E3752">
        <w:rPr>
          <w:rFonts w:ascii="Palatino Linotype" w:hAnsi="Palatino Linotype"/>
        </w:rPr>
        <w:t>l</w:t>
      </w:r>
      <w:r w:rsidR="00656A53">
        <w:rPr>
          <w:rFonts w:ascii="Palatino Linotype" w:hAnsi="Palatino Linotype"/>
        </w:rPr>
        <w:t>a</w:t>
      </w:r>
      <w:r w:rsidR="00146F5D" w:rsidRPr="005E3752">
        <w:rPr>
          <w:rFonts w:ascii="Palatino Linotype" w:hAnsi="Palatino Linotype"/>
        </w:rPr>
        <w:t xml:space="preserve"> Comisionad</w:t>
      </w:r>
      <w:r w:rsidR="00656A53">
        <w:rPr>
          <w:rFonts w:ascii="Palatino Linotype" w:hAnsi="Palatino Linotype"/>
        </w:rPr>
        <w:t>a</w:t>
      </w:r>
      <w:r w:rsidR="00146F5D" w:rsidRPr="005E3752">
        <w:rPr>
          <w:rFonts w:ascii="Palatino Linotype" w:hAnsi="Palatino Linotype"/>
        </w:rPr>
        <w:t xml:space="preserve"> </w:t>
      </w:r>
      <w:r w:rsidR="00BA0C02">
        <w:rPr>
          <w:rFonts w:ascii="Palatino Linotype" w:hAnsi="Palatino Linotype"/>
        </w:rPr>
        <w:t>Presidenta Zulema Martínez Sánchez</w:t>
      </w:r>
      <w:r w:rsidRPr="005E3752">
        <w:rPr>
          <w:rFonts w:ascii="Palatino Linotype" w:hAnsi="Palatino Linotype"/>
        </w:rPr>
        <w:t xml:space="preserve">, respecto de la cual, </w:t>
      </w:r>
      <w:r w:rsidR="0043077C" w:rsidRPr="005E3752">
        <w:rPr>
          <w:rFonts w:ascii="Palatino Linotype" w:hAnsi="Palatino Linotype"/>
        </w:rPr>
        <w:t xml:space="preserve">el </w:t>
      </w:r>
      <w:r w:rsidRPr="005E3752">
        <w:rPr>
          <w:rFonts w:ascii="Palatino Linotype" w:hAnsi="Palatino Linotype"/>
        </w:rPr>
        <w:t>suscrito</w:t>
      </w:r>
      <w:r w:rsidR="0043077C" w:rsidRPr="005E3752">
        <w:rPr>
          <w:rFonts w:ascii="Palatino Linotype" w:hAnsi="Palatino Linotype"/>
        </w:rPr>
        <w:t>, formula</w:t>
      </w:r>
      <w:r w:rsidRPr="005E3752">
        <w:rPr>
          <w:rFonts w:ascii="Palatino Linotype" w:hAnsi="Palatino Linotype"/>
        </w:rPr>
        <w:t xml:space="preserve"> </w:t>
      </w:r>
      <w:r w:rsidRPr="005E3752">
        <w:rPr>
          <w:rFonts w:ascii="Palatino Linotype" w:hAnsi="Palatino Linotype"/>
          <w:b/>
        </w:rPr>
        <w:t xml:space="preserve">VOTO </w:t>
      </w:r>
      <w:r w:rsidR="002261E8">
        <w:rPr>
          <w:rFonts w:ascii="Palatino Linotype" w:hAnsi="Palatino Linotype"/>
          <w:b/>
        </w:rPr>
        <w:t>DISIDENTE</w:t>
      </w:r>
      <w:r w:rsidRPr="005E3752">
        <w:rPr>
          <w:rFonts w:ascii="Palatino Linotype" w:hAnsi="Palatino Linotype"/>
        </w:rPr>
        <w:t xml:space="preserve">, con fundamento en </w:t>
      </w:r>
      <w:r w:rsidR="003D235F" w:rsidRPr="005E3752">
        <w:rPr>
          <w:rFonts w:ascii="Palatino Linotype" w:hAnsi="Palatino Linotype"/>
        </w:rPr>
        <w:t>el artículo</w:t>
      </w:r>
      <w:r w:rsidRPr="005E3752">
        <w:rPr>
          <w:rFonts w:ascii="Palatino Linotype" w:hAnsi="Palatino Linotype"/>
        </w:rPr>
        <w:t xml:space="preserve"> </w:t>
      </w:r>
      <w:r w:rsidR="003D235F" w:rsidRPr="005E3752">
        <w:rPr>
          <w:rFonts w:ascii="Palatino Linotype" w:hAnsi="Palatino Linotype"/>
        </w:rPr>
        <w:t>14 fracción</w:t>
      </w:r>
      <w:r w:rsidRPr="005E3752">
        <w:rPr>
          <w:rFonts w:ascii="Palatino Linotype" w:hAnsi="Palatino Linotype"/>
        </w:rPr>
        <w:t xml:space="preserve"> </w:t>
      </w:r>
      <w:r w:rsidR="003D235F" w:rsidRPr="005E3752">
        <w:rPr>
          <w:rFonts w:ascii="Palatino Linotype" w:hAnsi="Palatino Linotype"/>
        </w:rPr>
        <w:t>XI</w:t>
      </w:r>
      <w:r w:rsidRPr="005E3752">
        <w:rPr>
          <w:rFonts w:ascii="Palatino Linotype" w:hAnsi="Palatino Linotype"/>
        </w:rPr>
        <w:t xml:space="preserve"> del Reglamento del Instituto de Transparencia, Acceso a la Información Pública y Protección de Personales Datos del Estado de México.</w:t>
      </w:r>
    </w:p>
    <w:p w:rsidR="00144C74" w:rsidRDefault="00B72322" w:rsidP="00656A53">
      <w:pPr>
        <w:spacing w:before="240" w:after="240" w:line="360" w:lineRule="auto"/>
        <w:jc w:val="both"/>
        <w:rPr>
          <w:rFonts w:ascii="Palatino Linotype" w:hAnsi="Palatino Linotype"/>
        </w:rPr>
      </w:pPr>
      <w:r w:rsidRPr="005E3752">
        <w:rPr>
          <w:rFonts w:ascii="Palatino Linotype" w:hAnsi="Palatino Linotype"/>
        </w:rPr>
        <w:t>De manera previa a la</w:t>
      </w:r>
      <w:r w:rsidR="00784989" w:rsidRPr="005E3752">
        <w:rPr>
          <w:rFonts w:ascii="Palatino Linotype" w:hAnsi="Palatino Linotype"/>
        </w:rPr>
        <w:t xml:space="preserve"> emisión del presente voto, se debe</w:t>
      </w:r>
      <w:r w:rsidRPr="005E3752">
        <w:rPr>
          <w:rFonts w:ascii="Palatino Linotype" w:hAnsi="Palatino Linotype"/>
        </w:rPr>
        <w:t xml:space="preserve"> precisar</w:t>
      </w:r>
      <w:r w:rsidR="00144C74">
        <w:rPr>
          <w:rFonts w:ascii="Palatino Linotype" w:hAnsi="Palatino Linotype"/>
        </w:rPr>
        <w:t xml:space="preserve"> la materia en que radicaron</w:t>
      </w:r>
      <w:r w:rsidR="00CD36A0">
        <w:rPr>
          <w:rFonts w:ascii="Palatino Linotype" w:hAnsi="Palatino Linotype"/>
        </w:rPr>
        <w:t xml:space="preserve"> </w:t>
      </w:r>
      <w:r w:rsidR="00144C74">
        <w:rPr>
          <w:rFonts w:ascii="Palatino Linotype" w:hAnsi="Palatino Linotype"/>
        </w:rPr>
        <w:t xml:space="preserve">los </w:t>
      </w:r>
      <w:r w:rsidR="009B5C84" w:rsidRPr="005E3752">
        <w:rPr>
          <w:rFonts w:ascii="Palatino Linotype" w:hAnsi="Palatino Linotype"/>
        </w:rPr>
        <w:t>recurso</w:t>
      </w:r>
      <w:r w:rsidR="00144C74">
        <w:rPr>
          <w:rFonts w:ascii="Palatino Linotype" w:hAnsi="Palatino Linotype"/>
        </w:rPr>
        <w:t>s</w:t>
      </w:r>
      <w:r w:rsidR="00784989" w:rsidRPr="005E3752">
        <w:rPr>
          <w:rFonts w:ascii="Palatino Linotype" w:hAnsi="Palatino Linotype"/>
        </w:rPr>
        <w:t xml:space="preserve"> de revisión, </w:t>
      </w:r>
      <w:r w:rsidR="00995AED">
        <w:rPr>
          <w:rFonts w:ascii="Palatino Linotype" w:hAnsi="Palatino Linotype"/>
        </w:rPr>
        <w:t>los cuales consistieron en acceder a los informes de detención de dos particulares, los cuales en el dicho del solicitante, fueron víctimas de tortura por parte de autoridades ministeriales, de igual forma se requirió el informe detallado de la presunta detención de un comandante adscrito al centro de justicia de Valle de Chalco</w:t>
      </w:r>
      <w:r w:rsidR="00C27441">
        <w:rPr>
          <w:rFonts w:ascii="Palatino Linotype" w:hAnsi="Palatino Linotype"/>
        </w:rPr>
        <w:t xml:space="preserve">, información que fue solicitada al Poder Judicial del Estado de México. </w:t>
      </w:r>
    </w:p>
    <w:p w:rsidR="00C27441" w:rsidRDefault="00C27441" w:rsidP="00656A53">
      <w:pPr>
        <w:spacing w:before="240" w:after="240" w:line="360" w:lineRule="auto"/>
        <w:jc w:val="both"/>
        <w:rPr>
          <w:rFonts w:ascii="Palatino Linotype" w:hAnsi="Palatino Linotype"/>
        </w:rPr>
      </w:pPr>
      <w:r>
        <w:rPr>
          <w:rFonts w:ascii="Palatino Linotype" w:hAnsi="Palatino Linotype"/>
        </w:rPr>
        <w:lastRenderedPageBreak/>
        <w:t xml:space="preserve">Ante tales requerimientos, el Sujeto Obligado refirió que conforme a lo establecido  en la Ley Orgánica del Poder Judicial del Estado de México, no existan facultades o atribuciones que le permitieran conocer o llevar un registro de las detenciones realizadas, toda vez que éste no las genera, por lo cual le sugirió ingresar su petición a la </w:t>
      </w:r>
      <w:r w:rsidR="000F31C1">
        <w:rPr>
          <w:rFonts w:ascii="Palatino Linotype" w:hAnsi="Palatino Linotype"/>
        </w:rPr>
        <w:t>Fiscalía</w:t>
      </w:r>
      <w:r>
        <w:rPr>
          <w:rFonts w:ascii="Palatino Linotype" w:hAnsi="Palatino Linotype"/>
        </w:rPr>
        <w:t xml:space="preserve"> General de Justicia del Estado de México</w:t>
      </w:r>
      <w:r w:rsidR="00805C01">
        <w:rPr>
          <w:rFonts w:ascii="Palatino Linotype" w:hAnsi="Palatino Linotype"/>
        </w:rPr>
        <w:t>.</w:t>
      </w:r>
    </w:p>
    <w:p w:rsidR="00D46FF9" w:rsidRDefault="00D46FF9" w:rsidP="00656A53">
      <w:pPr>
        <w:spacing w:before="240" w:after="240" w:line="360" w:lineRule="auto"/>
        <w:jc w:val="both"/>
        <w:rPr>
          <w:rFonts w:ascii="Palatino Linotype" w:hAnsi="Palatino Linotype"/>
        </w:rPr>
      </w:pPr>
      <w:r>
        <w:rPr>
          <w:rFonts w:ascii="Palatino Linotype" w:hAnsi="Palatino Linotype"/>
        </w:rPr>
        <w:t xml:space="preserve">Bajo esos argumentos y después de analizar los expedientes de los recursos de revisión en </w:t>
      </w:r>
      <w:r w:rsidRPr="00940D69">
        <w:rPr>
          <w:rFonts w:ascii="Palatino Linotype" w:hAnsi="Palatino Linotype"/>
        </w:rPr>
        <w:t xml:space="preserve">comentos, la Ponencia encargada de resolver determinó que al ser el Poder Judicial del Estado, el </w:t>
      </w:r>
      <w:r w:rsidR="00940D69">
        <w:rPr>
          <w:rFonts w:ascii="Palatino Linotype" w:hAnsi="Palatino Linotype"/>
        </w:rPr>
        <w:t>encargado de la función jurisdiccional no estar entre sus atribuciones la de recibir o tramitar las detenciones que realicen en los ministerios públicos, situación por la que se determinó que el Sujeto Obligado competente</w:t>
      </w:r>
      <w:r w:rsidR="004D5453">
        <w:rPr>
          <w:rFonts w:ascii="Palatino Linotype" w:hAnsi="Palatino Linotype"/>
        </w:rPr>
        <w:t>,</w:t>
      </w:r>
      <w:r w:rsidR="00940D69">
        <w:rPr>
          <w:rFonts w:ascii="Palatino Linotype" w:hAnsi="Palatino Linotype"/>
        </w:rPr>
        <w:t xml:space="preserve"> seria en todo caso</w:t>
      </w:r>
      <w:r w:rsidR="004D5453">
        <w:rPr>
          <w:rFonts w:ascii="Palatino Linotype" w:hAnsi="Palatino Linotype"/>
        </w:rPr>
        <w:t>,</w:t>
      </w:r>
      <w:r w:rsidR="00940D69">
        <w:rPr>
          <w:rFonts w:ascii="Palatino Linotype" w:hAnsi="Palatino Linotype"/>
        </w:rPr>
        <w:t xml:space="preserve"> la Fiscalía General de Justicia del Estado de México </w:t>
      </w:r>
      <w:r w:rsidR="004D5453">
        <w:rPr>
          <w:rFonts w:ascii="Palatino Linotype" w:hAnsi="Palatino Linotype"/>
        </w:rPr>
        <w:t>con base en la organización que ésta tiene establecida en la Ley Orgánica de la Procuraduría</w:t>
      </w:r>
      <w:r w:rsidR="004B5954">
        <w:rPr>
          <w:rFonts w:ascii="Palatino Linotype" w:hAnsi="Palatino Linotype"/>
        </w:rPr>
        <w:t xml:space="preserve"> General de Justicia del Estado, por consiguiente le fue confirmada la respuesta inicial en virtud de que la incompetencia del Poder Judicial fue comunicada conforme al procedimiento establecido en el artículo 167 de la Ley de Transparencia y Acceso a la Información Pública del Estado de México y Municipios.</w:t>
      </w:r>
    </w:p>
    <w:p w:rsidR="00486781" w:rsidRDefault="00446B6C" w:rsidP="00656A53">
      <w:pPr>
        <w:spacing w:before="240" w:after="240" w:line="360" w:lineRule="auto"/>
        <w:jc w:val="both"/>
        <w:rPr>
          <w:rFonts w:ascii="Palatino Linotype" w:hAnsi="Palatino Linotype"/>
        </w:rPr>
      </w:pPr>
      <w:r>
        <w:rPr>
          <w:rFonts w:ascii="Palatino Linotype" w:hAnsi="Palatino Linotype"/>
        </w:rPr>
        <w:t xml:space="preserve">Ahora bien, </w:t>
      </w:r>
      <w:r w:rsidR="001960A6">
        <w:rPr>
          <w:rFonts w:ascii="Palatino Linotype" w:hAnsi="Palatino Linotype"/>
        </w:rPr>
        <w:t>es sobre la determinación que se toma de confirmar la respuesta sin analizar la naturaleza de la información peticionada ni de las facultades con las que cuenta este Órgano Garante para pronunciarse sobre las vulneraciones a los derechos humanos sobre la que versa el</w:t>
      </w:r>
      <w:r w:rsidR="003B3070">
        <w:rPr>
          <w:rFonts w:ascii="Palatino Linotype" w:hAnsi="Palatino Linotype"/>
        </w:rPr>
        <w:t xml:space="preserve"> presente voto, ya que si bien se trata de información generada por las atribuciones conferidas por otro Sujeto Obligado, ello no implica que el Poder Judicial </w:t>
      </w:r>
      <w:r w:rsidR="00273BE0">
        <w:rPr>
          <w:rFonts w:ascii="Palatino Linotype" w:hAnsi="Palatino Linotype"/>
        </w:rPr>
        <w:t xml:space="preserve">en la realización de sus actividades jurisdiccionales cuente </w:t>
      </w:r>
      <w:r w:rsidR="003B3070">
        <w:rPr>
          <w:rFonts w:ascii="Palatino Linotype" w:hAnsi="Palatino Linotype"/>
        </w:rPr>
        <w:t xml:space="preserve">dentro de sus expedientes </w:t>
      </w:r>
      <w:r w:rsidR="00273BE0">
        <w:rPr>
          <w:rFonts w:ascii="Palatino Linotype" w:hAnsi="Palatino Linotype"/>
        </w:rPr>
        <w:t>con</w:t>
      </w:r>
      <w:r w:rsidR="003B3070">
        <w:rPr>
          <w:rFonts w:ascii="Palatino Linotype" w:hAnsi="Palatino Linotype"/>
        </w:rPr>
        <w:t xml:space="preserve"> la información </w:t>
      </w:r>
      <w:r w:rsidR="00273BE0">
        <w:rPr>
          <w:rFonts w:ascii="Palatino Linotype" w:hAnsi="Palatino Linotype"/>
        </w:rPr>
        <w:t>materia de las solicitudes, misma a la que se le pueda brindar el acceso correspondiente al particular vía derecho de acceso a la información, cuando se acrediten las vulneraciones a derechos humanos.</w:t>
      </w:r>
    </w:p>
    <w:p w:rsidR="00592636" w:rsidRDefault="00592636" w:rsidP="00656A53">
      <w:pPr>
        <w:spacing w:before="240" w:after="240" w:line="360" w:lineRule="auto"/>
        <w:jc w:val="both"/>
        <w:rPr>
          <w:rFonts w:ascii="Palatino Linotype" w:hAnsi="Palatino Linotype"/>
        </w:rPr>
      </w:pPr>
      <w:r>
        <w:rPr>
          <w:rFonts w:ascii="Palatino Linotype" w:hAnsi="Palatino Linotype"/>
        </w:rPr>
        <w:lastRenderedPageBreak/>
        <w:t>Lo anterior estimo así, debido a que si bien dentro de las atribuciones expresas del Poder Judicial no se encuentra nada relacionado a las detenciones judiciales realizadas por el Ministerio Público, lo cierto es que el actuar de ese organismo solo se encarga de sustanciar las investigaciones de hechos delictuosos y no cuenta con facultades jurisdiccionales para resolver una sentencia penal,  ya que su calidad es de autoridad sustanciadora, por lo que quien se encarga de estudiar y analizar la investigación presentada para determinar la o no la vinculación a proceso de un imputado es el Juez de Cont</w:t>
      </w:r>
      <w:r w:rsidR="00EC02C5">
        <w:rPr>
          <w:rFonts w:ascii="Palatino Linotype" w:hAnsi="Palatino Linotype"/>
        </w:rPr>
        <w:t>rol, sustenta lo anterior lo estipulado en la Ley Orgánica del Poder Judicial del Estado de México, al referir a los facultados para el ejercicio de la función jurisdiccional como se muestra a continuación:</w:t>
      </w:r>
    </w:p>
    <w:p w:rsidR="00EC02C5" w:rsidRDefault="00EC02C5" w:rsidP="00EC02C5">
      <w:pPr>
        <w:pStyle w:val="Sinespaciado"/>
        <w:ind w:left="851" w:right="567"/>
        <w:jc w:val="both"/>
        <w:rPr>
          <w:rFonts w:ascii="Palatino Linotype" w:hAnsi="Palatino Linotype"/>
          <w:i/>
          <w:sz w:val="22"/>
        </w:rPr>
      </w:pPr>
      <w:r>
        <w:rPr>
          <w:rFonts w:ascii="Palatino Linotype" w:hAnsi="Palatino Linotype"/>
          <w:i/>
          <w:sz w:val="22"/>
        </w:rPr>
        <w:t>“</w:t>
      </w:r>
      <w:r w:rsidRPr="006319AF">
        <w:rPr>
          <w:rFonts w:ascii="Palatino Linotype" w:hAnsi="Palatino Linotype"/>
          <w:b/>
          <w:i/>
          <w:sz w:val="22"/>
        </w:rPr>
        <w:t>Artículo 187.-</w:t>
      </w:r>
      <w:r w:rsidRPr="006319AF">
        <w:rPr>
          <w:rFonts w:ascii="Palatino Linotype" w:hAnsi="Palatino Linotype"/>
          <w:i/>
          <w:sz w:val="22"/>
        </w:rPr>
        <w:t xml:space="preserve"> La función jurisdiccional en materia penal se ejerce por: </w:t>
      </w:r>
    </w:p>
    <w:p w:rsidR="00EC02C5" w:rsidRDefault="00EC02C5" w:rsidP="00EC02C5">
      <w:pPr>
        <w:pStyle w:val="Sinespaciado"/>
        <w:ind w:left="851" w:right="567"/>
        <w:jc w:val="both"/>
        <w:rPr>
          <w:rFonts w:ascii="Palatino Linotype" w:hAnsi="Palatino Linotype"/>
          <w:i/>
          <w:sz w:val="22"/>
        </w:rPr>
      </w:pPr>
      <w:r w:rsidRPr="006319AF">
        <w:rPr>
          <w:rFonts w:ascii="Palatino Linotype" w:hAnsi="Palatino Linotype"/>
          <w:b/>
          <w:i/>
          <w:sz w:val="22"/>
        </w:rPr>
        <w:t>I.</w:t>
      </w:r>
      <w:r w:rsidRPr="006319AF">
        <w:rPr>
          <w:rFonts w:ascii="Palatino Linotype" w:hAnsi="Palatino Linotype"/>
          <w:i/>
          <w:sz w:val="22"/>
        </w:rPr>
        <w:t xml:space="preserve"> </w:t>
      </w:r>
      <w:r w:rsidRPr="004D7CF7">
        <w:rPr>
          <w:rFonts w:ascii="Palatino Linotype" w:hAnsi="Palatino Linotype"/>
          <w:b/>
          <w:i/>
          <w:sz w:val="22"/>
        </w:rPr>
        <w:t>Jueces de control;</w:t>
      </w:r>
      <w:r w:rsidRPr="006319AF">
        <w:rPr>
          <w:rFonts w:ascii="Palatino Linotype" w:hAnsi="Palatino Linotype"/>
          <w:i/>
          <w:sz w:val="22"/>
        </w:rPr>
        <w:t xml:space="preserve"> </w:t>
      </w:r>
    </w:p>
    <w:p w:rsidR="00EC02C5" w:rsidRDefault="00EC02C5" w:rsidP="00EC02C5">
      <w:pPr>
        <w:pStyle w:val="Sinespaciado"/>
        <w:ind w:left="851" w:right="567"/>
        <w:jc w:val="both"/>
        <w:rPr>
          <w:rFonts w:ascii="Palatino Linotype" w:hAnsi="Palatino Linotype"/>
          <w:i/>
          <w:sz w:val="22"/>
        </w:rPr>
      </w:pPr>
      <w:r w:rsidRPr="006319AF">
        <w:rPr>
          <w:rFonts w:ascii="Palatino Linotype" w:hAnsi="Palatino Linotype"/>
          <w:b/>
          <w:i/>
          <w:sz w:val="22"/>
        </w:rPr>
        <w:t>II.</w:t>
      </w:r>
      <w:r w:rsidRPr="006319AF">
        <w:rPr>
          <w:rFonts w:ascii="Palatino Linotype" w:hAnsi="Palatino Linotype"/>
          <w:i/>
          <w:sz w:val="22"/>
        </w:rPr>
        <w:t xml:space="preserve"> Derogada. </w:t>
      </w:r>
    </w:p>
    <w:p w:rsidR="00EC02C5" w:rsidRDefault="00EC02C5" w:rsidP="00EC02C5">
      <w:pPr>
        <w:pStyle w:val="Sinespaciado"/>
        <w:ind w:left="851" w:right="567"/>
        <w:jc w:val="both"/>
        <w:rPr>
          <w:rFonts w:ascii="Palatino Linotype" w:hAnsi="Palatino Linotype"/>
          <w:i/>
          <w:sz w:val="22"/>
        </w:rPr>
      </w:pPr>
      <w:r w:rsidRPr="006319AF">
        <w:rPr>
          <w:rFonts w:ascii="Palatino Linotype" w:hAnsi="Palatino Linotype"/>
          <w:b/>
          <w:i/>
          <w:sz w:val="22"/>
        </w:rPr>
        <w:t>III.</w:t>
      </w:r>
      <w:r w:rsidRPr="006319AF">
        <w:rPr>
          <w:rFonts w:ascii="Palatino Linotype" w:hAnsi="Palatino Linotype"/>
          <w:i/>
          <w:sz w:val="22"/>
        </w:rPr>
        <w:t xml:space="preserve"> Tribunales de enjuiciamiento; </w:t>
      </w:r>
    </w:p>
    <w:p w:rsidR="00EC02C5" w:rsidRDefault="00EC02C5" w:rsidP="00EC02C5">
      <w:pPr>
        <w:pStyle w:val="Sinespaciado"/>
        <w:ind w:left="851" w:right="567"/>
        <w:jc w:val="both"/>
        <w:rPr>
          <w:rFonts w:ascii="Palatino Linotype" w:hAnsi="Palatino Linotype"/>
          <w:i/>
          <w:sz w:val="22"/>
        </w:rPr>
      </w:pPr>
      <w:r w:rsidRPr="006319AF">
        <w:rPr>
          <w:rFonts w:ascii="Palatino Linotype" w:hAnsi="Palatino Linotype"/>
          <w:b/>
          <w:i/>
          <w:sz w:val="22"/>
        </w:rPr>
        <w:t>IV.</w:t>
      </w:r>
      <w:r w:rsidRPr="006319AF">
        <w:rPr>
          <w:rFonts w:ascii="Palatino Linotype" w:hAnsi="Palatino Linotype"/>
          <w:i/>
          <w:sz w:val="22"/>
        </w:rPr>
        <w:t xml:space="preserve"> Jueces ejecutores de sentencias; y </w:t>
      </w:r>
    </w:p>
    <w:p w:rsidR="00EC02C5" w:rsidRDefault="00EC02C5" w:rsidP="00EC02C5">
      <w:pPr>
        <w:pStyle w:val="Sinespaciado"/>
        <w:ind w:left="851" w:right="567"/>
        <w:jc w:val="both"/>
        <w:rPr>
          <w:rFonts w:ascii="Palatino Linotype" w:hAnsi="Palatino Linotype"/>
          <w:i/>
          <w:sz w:val="22"/>
        </w:rPr>
      </w:pPr>
      <w:r w:rsidRPr="006319AF">
        <w:rPr>
          <w:rFonts w:ascii="Palatino Linotype" w:hAnsi="Palatino Linotype"/>
          <w:b/>
          <w:i/>
          <w:sz w:val="22"/>
        </w:rPr>
        <w:t>V.</w:t>
      </w:r>
      <w:r w:rsidRPr="006319AF">
        <w:rPr>
          <w:rFonts w:ascii="Palatino Linotype" w:hAnsi="Palatino Linotype"/>
          <w:i/>
          <w:sz w:val="22"/>
        </w:rPr>
        <w:t xml:space="preserve"> Salas del Tribunal Superior de Justicia. </w:t>
      </w:r>
    </w:p>
    <w:p w:rsidR="00EC02C5" w:rsidRDefault="00EC02C5" w:rsidP="00EC02C5">
      <w:pPr>
        <w:pStyle w:val="Sinespaciado"/>
        <w:ind w:left="851" w:right="567"/>
        <w:jc w:val="both"/>
        <w:rPr>
          <w:rFonts w:ascii="Palatino Linotype" w:hAnsi="Palatino Linotype"/>
          <w:i/>
          <w:sz w:val="22"/>
        </w:rPr>
      </w:pPr>
      <w:r w:rsidRPr="006319AF">
        <w:rPr>
          <w:rFonts w:ascii="Palatino Linotype" w:hAnsi="Palatino Linotype"/>
          <w:i/>
          <w:sz w:val="22"/>
        </w:rPr>
        <w:t xml:space="preserve">El Poder Judicial del Estado contará con jueces y magistrados especializados en violencia de género </w:t>
      </w:r>
    </w:p>
    <w:p w:rsidR="00EC02C5" w:rsidRDefault="00EC02C5" w:rsidP="00EC02C5">
      <w:pPr>
        <w:pStyle w:val="Sinespaciado"/>
        <w:ind w:left="851" w:right="567"/>
        <w:jc w:val="both"/>
        <w:rPr>
          <w:rFonts w:ascii="Palatino Linotype" w:hAnsi="Palatino Linotype"/>
          <w:i/>
          <w:sz w:val="22"/>
        </w:rPr>
      </w:pPr>
      <w:r w:rsidRPr="006319AF">
        <w:rPr>
          <w:rFonts w:ascii="Palatino Linotype" w:hAnsi="Palatino Linotype"/>
          <w:b/>
          <w:i/>
          <w:sz w:val="22"/>
        </w:rPr>
        <w:t>Artículo 188.-</w:t>
      </w:r>
      <w:r w:rsidRPr="006319AF">
        <w:rPr>
          <w:rFonts w:ascii="Palatino Linotype" w:hAnsi="Palatino Linotype"/>
          <w:i/>
          <w:sz w:val="22"/>
        </w:rPr>
        <w:t xml:space="preserve"> Los jueces tendrán fe pública en el ejercicio de su función. </w:t>
      </w:r>
    </w:p>
    <w:p w:rsidR="00EC02C5" w:rsidRDefault="00EC02C5" w:rsidP="00EC02C5">
      <w:pPr>
        <w:pStyle w:val="Sinespaciado"/>
        <w:ind w:left="851" w:right="567"/>
        <w:jc w:val="both"/>
        <w:rPr>
          <w:rFonts w:ascii="Palatino Linotype" w:hAnsi="Palatino Linotype"/>
          <w:i/>
          <w:sz w:val="22"/>
        </w:rPr>
      </w:pPr>
      <w:r w:rsidRPr="006319AF">
        <w:rPr>
          <w:rFonts w:ascii="Palatino Linotype" w:hAnsi="Palatino Linotype"/>
          <w:b/>
          <w:i/>
          <w:sz w:val="22"/>
        </w:rPr>
        <w:t>Artículo 189.-</w:t>
      </w:r>
      <w:r w:rsidRPr="006319AF">
        <w:rPr>
          <w:rFonts w:ascii="Palatino Linotype" w:hAnsi="Palatino Linotype"/>
          <w:i/>
          <w:sz w:val="22"/>
        </w:rPr>
        <w:t xml:space="preserve"> Los jueces en materia penal conocerán de conformidad con el Código Nacional de Procedimientos Penales: </w:t>
      </w:r>
    </w:p>
    <w:p w:rsidR="00EC02C5" w:rsidRPr="004D7CF7" w:rsidRDefault="00EC02C5" w:rsidP="00EC02C5">
      <w:pPr>
        <w:pStyle w:val="Sinespaciado"/>
        <w:ind w:left="851" w:right="567"/>
        <w:jc w:val="both"/>
        <w:rPr>
          <w:rFonts w:ascii="Palatino Linotype" w:hAnsi="Palatino Linotype"/>
          <w:b/>
          <w:i/>
          <w:sz w:val="22"/>
        </w:rPr>
      </w:pPr>
      <w:r w:rsidRPr="006319AF">
        <w:rPr>
          <w:rFonts w:ascii="Palatino Linotype" w:hAnsi="Palatino Linotype"/>
          <w:b/>
          <w:i/>
          <w:sz w:val="22"/>
        </w:rPr>
        <w:t>I.</w:t>
      </w:r>
      <w:r w:rsidRPr="006319AF">
        <w:rPr>
          <w:rFonts w:ascii="Palatino Linotype" w:hAnsi="Palatino Linotype"/>
          <w:i/>
          <w:sz w:val="22"/>
        </w:rPr>
        <w:t xml:space="preserve"> </w:t>
      </w:r>
      <w:r w:rsidRPr="004D7CF7">
        <w:rPr>
          <w:rFonts w:ascii="Palatino Linotype" w:hAnsi="Palatino Linotype"/>
          <w:b/>
          <w:i/>
          <w:sz w:val="22"/>
        </w:rPr>
        <w:t xml:space="preserve">De la etapa de investigación, el juez de control; </w:t>
      </w:r>
    </w:p>
    <w:p w:rsidR="00EC02C5" w:rsidRPr="004D7CF7" w:rsidRDefault="00EC02C5" w:rsidP="00EC02C5">
      <w:pPr>
        <w:pStyle w:val="Sinespaciado"/>
        <w:ind w:left="851" w:right="567"/>
        <w:jc w:val="both"/>
        <w:rPr>
          <w:rFonts w:ascii="Palatino Linotype" w:hAnsi="Palatino Linotype"/>
          <w:b/>
          <w:i/>
          <w:sz w:val="22"/>
        </w:rPr>
      </w:pPr>
      <w:r w:rsidRPr="004D7CF7">
        <w:rPr>
          <w:rFonts w:ascii="Palatino Linotype" w:hAnsi="Palatino Linotype"/>
          <w:b/>
          <w:i/>
          <w:sz w:val="22"/>
        </w:rPr>
        <w:t xml:space="preserve">II. De la etapa intermedia, el juez de control; </w:t>
      </w:r>
    </w:p>
    <w:p w:rsidR="00EC02C5" w:rsidRDefault="00EC02C5" w:rsidP="00EC02C5">
      <w:pPr>
        <w:pStyle w:val="Sinespaciado"/>
        <w:ind w:left="851" w:right="567"/>
        <w:jc w:val="both"/>
        <w:rPr>
          <w:rFonts w:ascii="Palatino Linotype" w:hAnsi="Palatino Linotype"/>
          <w:i/>
          <w:sz w:val="22"/>
        </w:rPr>
      </w:pPr>
      <w:r w:rsidRPr="006319AF">
        <w:rPr>
          <w:rFonts w:ascii="Palatino Linotype" w:hAnsi="Palatino Linotype"/>
          <w:b/>
          <w:i/>
          <w:sz w:val="22"/>
        </w:rPr>
        <w:t>III.</w:t>
      </w:r>
      <w:r w:rsidRPr="006319AF">
        <w:rPr>
          <w:rFonts w:ascii="Palatino Linotype" w:hAnsi="Palatino Linotype"/>
          <w:i/>
          <w:sz w:val="22"/>
        </w:rPr>
        <w:t xml:space="preserve"> De la etapa de juicio, el Tribunal de Enjuiciamiento; </w:t>
      </w:r>
    </w:p>
    <w:p w:rsidR="00EC02C5" w:rsidRPr="00EC02C5" w:rsidRDefault="00EC02C5" w:rsidP="00EC02C5">
      <w:pPr>
        <w:pStyle w:val="Sinespaciado"/>
        <w:ind w:left="851" w:right="567"/>
        <w:jc w:val="both"/>
        <w:rPr>
          <w:rFonts w:ascii="Palatino Linotype" w:hAnsi="Palatino Linotype"/>
          <w:sz w:val="22"/>
        </w:rPr>
      </w:pPr>
      <w:r w:rsidRPr="006319AF">
        <w:rPr>
          <w:rFonts w:ascii="Palatino Linotype" w:hAnsi="Palatino Linotype"/>
          <w:b/>
          <w:i/>
          <w:sz w:val="22"/>
        </w:rPr>
        <w:t>IV.</w:t>
      </w:r>
      <w:r w:rsidRPr="006319AF">
        <w:rPr>
          <w:rFonts w:ascii="Palatino Linotype" w:hAnsi="Palatino Linotype"/>
          <w:i/>
          <w:sz w:val="22"/>
        </w:rPr>
        <w:t xml:space="preserve"> De la etapa de ejecución, el juez ejecutor de sentencias.</w:t>
      </w:r>
      <w:r>
        <w:rPr>
          <w:rFonts w:ascii="Palatino Linotype" w:hAnsi="Palatino Linotype"/>
          <w:i/>
          <w:sz w:val="22"/>
        </w:rPr>
        <w:t>”</w:t>
      </w:r>
    </w:p>
    <w:p w:rsidR="00DB5217" w:rsidRDefault="00DB5217" w:rsidP="006F7C5A">
      <w:pPr>
        <w:spacing w:before="240" w:after="0" w:line="360" w:lineRule="auto"/>
        <w:jc w:val="both"/>
        <w:rPr>
          <w:rFonts w:ascii="Palatino Linotype" w:hAnsi="Palatino Linotype" w:cs="Arial"/>
        </w:rPr>
      </w:pPr>
      <w:r>
        <w:rPr>
          <w:rFonts w:ascii="Palatino Linotype" w:hAnsi="Palatino Linotype" w:cs="Arial"/>
        </w:rPr>
        <w:t>Como se desprende de los dispositivos legales citados, corresponde a los jueces de control, adscritos al Poder Judicial del Estado, ejercer la función jurisdiccional en materia penal y conocer las etapas de investigación así como la etapa intermedia del proceso penal, situación por la cual en los archivos del Sujeto Obligado podría obrar la información requerida</w:t>
      </w:r>
      <w:r w:rsidR="00994C26">
        <w:rPr>
          <w:rFonts w:ascii="Palatino Linotype" w:hAnsi="Palatino Linotype" w:cs="Arial"/>
        </w:rPr>
        <w:t xml:space="preserve"> por el particular, ya que la mima Ley Orgánica antes citada, refiere que el </w:t>
      </w:r>
      <w:r w:rsidR="00994C26">
        <w:rPr>
          <w:rFonts w:ascii="Palatino Linotype" w:hAnsi="Palatino Linotype" w:cs="Arial"/>
        </w:rPr>
        <w:lastRenderedPageBreak/>
        <w:t>territorio del Estado de México, para los efectos de esa ley se divide en 18 distritos judiciales, los cuales comprenden todos los municipios del Estado</w:t>
      </w:r>
      <w:r w:rsidR="00994C26">
        <w:rPr>
          <w:rStyle w:val="Refdenotaalpie"/>
          <w:rFonts w:ascii="Palatino Linotype" w:hAnsi="Palatino Linotype" w:cs="Arial"/>
        </w:rPr>
        <w:footnoteReference w:id="1"/>
      </w:r>
      <w:r w:rsidR="00994C26">
        <w:rPr>
          <w:rFonts w:ascii="Palatino Linotype" w:hAnsi="Palatino Linotype" w:cs="Arial"/>
        </w:rPr>
        <w:t>.</w:t>
      </w:r>
    </w:p>
    <w:p w:rsidR="004F68DC" w:rsidRDefault="004F68DC" w:rsidP="006F7C5A">
      <w:pPr>
        <w:spacing w:before="240" w:after="0" w:line="360" w:lineRule="auto"/>
        <w:jc w:val="both"/>
        <w:rPr>
          <w:rFonts w:ascii="Palatino Linotype" w:hAnsi="Palatino Linotype" w:cs="Arial"/>
          <w:sz w:val="24"/>
          <w:szCs w:val="24"/>
        </w:rPr>
      </w:pPr>
      <w:r>
        <w:rPr>
          <w:rFonts w:ascii="Palatino Linotype" w:hAnsi="Palatino Linotype" w:cs="Arial"/>
        </w:rPr>
        <w:t xml:space="preserve">Ahora bien, </w:t>
      </w:r>
      <w:r w:rsidR="004C51A1">
        <w:rPr>
          <w:rFonts w:ascii="Palatino Linotype" w:hAnsi="Palatino Linotype" w:cs="Arial"/>
        </w:rPr>
        <w:t xml:space="preserve">una vez establecida la competencia del Sujeto Obligado sobre la posible posesión de los documentos materia de la solicitud, es importante determinar el posible acceso a los expedientes, por ello es de recordar que </w:t>
      </w:r>
      <w:r>
        <w:rPr>
          <w:rFonts w:ascii="Palatino Linotype" w:hAnsi="Palatino Linotype" w:cs="Arial"/>
        </w:rPr>
        <w:t xml:space="preserve">el recurrente en dos de sus solicitudes de información, </w:t>
      </w:r>
      <w:r w:rsidR="004C51A1">
        <w:rPr>
          <w:rFonts w:ascii="Palatino Linotype" w:hAnsi="Palatino Linotype" w:cs="Arial"/>
        </w:rPr>
        <w:t>manifestó</w:t>
      </w:r>
      <w:r>
        <w:rPr>
          <w:rFonts w:ascii="Palatino Linotype" w:hAnsi="Palatino Linotype" w:cs="Arial"/>
        </w:rPr>
        <w:t xml:space="preserve"> la presunta existencia de tortura en las detenciones realizadas a dos particulares, motivo por el cual pretende tener acceso a los informes de </w:t>
      </w:r>
      <w:r w:rsidR="004C51A1">
        <w:rPr>
          <w:rFonts w:ascii="Palatino Linotype" w:hAnsi="Palatino Linotype" w:cs="Arial"/>
        </w:rPr>
        <w:t>las detenciones realizadas en el año 2016, por ello es importante recordar que la Constitución Política de</w:t>
      </w:r>
      <w:r w:rsidR="004C51A1" w:rsidRPr="004C51A1">
        <w:rPr>
          <w:rFonts w:ascii="Palatino Linotype" w:hAnsi="Palatino Linotype" w:cs="Arial"/>
          <w:sz w:val="24"/>
          <w:szCs w:val="24"/>
        </w:rPr>
        <w:t xml:space="preserve"> </w:t>
      </w:r>
      <w:r w:rsidR="004C51A1">
        <w:rPr>
          <w:rFonts w:ascii="Palatino Linotype" w:hAnsi="Palatino Linotype" w:cs="Arial"/>
          <w:sz w:val="24"/>
          <w:szCs w:val="24"/>
        </w:rPr>
        <w:t>los Estados Unidos Mexicanos, en materia de derechos humanos establece lo siguiente:</w:t>
      </w:r>
    </w:p>
    <w:p w:rsidR="004C51A1" w:rsidRDefault="004C51A1" w:rsidP="004C51A1">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913D22">
        <w:rPr>
          <w:rFonts w:ascii="Palatino Linotype" w:hAnsi="Palatino Linotype" w:cs="Arial"/>
          <w:b/>
          <w:i/>
          <w:szCs w:val="24"/>
        </w:rPr>
        <w:t xml:space="preserve">Artículo 1o. </w:t>
      </w:r>
      <w:r w:rsidRPr="00913D22">
        <w:rPr>
          <w:rFonts w:ascii="Palatino Linotype" w:hAnsi="Palatino Linotype" w:cs="Arial"/>
          <w:i/>
          <w:szCs w:val="24"/>
        </w:rPr>
        <w:t>En los Estados Unidos Mexicanos todas las personas gozarán de los derechos humanos</w:t>
      </w:r>
      <w:r>
        <w:rPr>
          <w:rFonts w:ascii="Palatino Linotype" w:hAnsi="Palatino Linotype" w:cs="Arial"/>
          <w:i/>
          <w:szCs w:val="24"/>
        </w:rPr>
        <w:t xml:space="preserve"> </w:t>
      </w:r>
      <w:r w:rsidRPr="00913D22">
        <w:rPr>
          <w:rFonts w:ascii="Palatino Linotype" w:hAnsi="Palatino Linotype" w:cs="Arial"/>
          <w:i/>
          <w:szCs w:val="24"/>
        </w:rPr>
        <w:t>reconocidos en esta Constitución y en los tratados internacionales de los que el Estado Mexicano sea</w:t>
      </w:r>
      <w:r>
        <w:rPr>
          <w:rFonts w:ascii="Palatino Linotype" w:hAnsi="Palatino Linotype" w:cs="Arial"/>
          <w:i/>
          <w:szCs w:val="24"/>
        </w:rPr>
        <w:t xml:space="preserve"> </w:t>
      </w:r>
      <w:r w:rsidRPr="00913D22">
        <w:rPr>
          <w:rFonts w:ascii="Palatino Linotype" w:hAnsi="Palatino Linotype" w:cs="Arial"/>
          <w:i/>
          <w:szCs w:val="24"/>
        </w:rPr>
        <w:t>parte, así como de las garantías para su protección, cuyo ejercicio no podrá restringirse ni suspenderse,</w:t>
      </w:r>
      <w:r>
        <w:rPr>
          <w:rFonts w:ascii="Palatino Linotype" w:hAnsi="Palatino Linotype" w:cs="Arial"/>
          <w:i/>
          <w:szCs w:val="24"/>
        </w:rPr>
        <w:t xml:space="preserve"> </w:t>
      </w:r>
      <w:r w:rsidRPr="00913D22">
        <w:rPr>
          <w:rFonts w:ascii="Palatino Linotype" w:hAnsi="Palatino Linotype" w:cs="Arial"/>
          <w:i/>
          <w:szCs w:val="24"/>
        </w:rPr>
        <w:t>salvo en los casos y bajo las condiciones que esta Constitución establece.</w:t>
      </w:r>
    </w:p>
    <w:p w:rsidR="004C51A1" w:rsidRPr="00913D22" w:rsidRDefault="004C51A1" w:rsidP="004C51A1">
      <w:pPr>
        <w:autoSpaceDE w:val="0"/>
        <w:autoSpaceDN w:val="0"/>
        <w:adjustRightInd w:val="0"/>
        <w:spacing w:after="0" w:line="240" w:lineRule="auto"/>
        <w:ind w:left="567" w:right="567"/>
        <w:jc w:val="both"/>
        <w:rPr>
          <w:rFonts w:ascii="Palatino Linotype" w:hAnsi="Palatino Linotype" w:cs="Arial"/>
          <w:i/>
          <w:szCs w:val="24"/>
        </w:rPr>
      </w:pPr>
      <w:r w:rsidRPr="00913D22">
        <w:rPr>
          <w:rFonts w:ascii="Palatino Linotype" w:hAnsi="Palatino Linotype" w:cs="Arial"/>
          <w:i/>
          <w:szCs w:val="24"/>
        </w:rPr>
        <w:t>Las normas relativas a los derechos humanos se interpretarán de conformidad con esta Constitución y</w:t>
      </w:r>
      <w:r>
        <w:rPr>
          <w:rFonts w:ascii="Palatino Linotype" w:hAnsi="Palatino Linotype" w:cs="Arial"/>
          <w:i/>
          <w:szCs w:val="24"/>
        </w:rPr>
        <w:t xml:space="preserve"> </w:t>
      </w:r>
      <w:r w:rsidRPr="00913D22">
        <w:rPr>
          <w:rFonts w:ascii="Palatino Linotype" w:hAnsi="Palatino Linotype" w:cs="Arial"/>
          <w:i/>
          <w:szCs w:val="24"/>
        </w:rPr>
        <w:t>con los tratados internacionales de la materia favoreciendo en todo tiempo a las personas la protección</w:t>
      </w:r>
      <w:r>
        <w:rPr>
          <w:rFonts w:ascii="Palatino Linotype" w:hAnsi="Palatino Linotype" w:cs="Arial"/>
          <w:i/>
          <w:szCs w:val="24"/>
        </w:rPr>
        <w:t xml:space="preserve"> </w:t>
      </w:r>
      <w:r w:rsidRPr="00913D22">
        <w:rPr>
          <w:rFonts w:ascii="Palatino Linotype" w:hAnsi="Palatino Linotype" w:cs="Arial"/>
          <w:i/>
          <w:szCs w:val="24"/>
        </w:rPr>
        <w:t>más amplia.</w:t>
      </w:r>
    </w:p>
    <w:p w:rsidR="004C51A1" w:rsidRPr="004C51A1" w:rsidRDefault="004C51A1" w:rsidP="004C51A1">
      <w:pPr>
        <w:autoSpaceDE w:val="0"/>
        <w:autoSpaceDN w:val="0"/>
        <w:adjustRightInd w:val="0"/>
        <w:spacing w:after="0" w:line="240" w:lineRule="auto"/>
        <w:ind w:left="567" w:right="567"/>
        <w:jc w:val="both"/>
        <w:rPr>
          <w:rFonts w:ascii="Palatino Linotype" w:hAnsi="Palatino Linotype" w:cs="Arial"/>
          <w:b/>
          <w:i/>
          <w:sz w:val="24"/>
          <w:szCs w:val="24"/>
          <w:u w:val="single"/>
        </w:rPr>
      </w:pPr>
      <w:r w:rsidRPr="00913D22">
        <w:rPr>
          <w:rFonts w:ascii="Palatino Linotype" w:hAnsi="Palatino Linotype" w:cs="Arial"/>
          <w:b/>
          <w:i/>
          <w:sz w:val="24"/>
          <w:szCs w:val="24"/>
        </w:rPr>
        <w:t xml:space="preserve">Todas las autoridades, </w:t>
      </w:r>
      <w:r w:rsidRPr="00913D22">
        <w:rPr>
          <w:rFonts w:ascii="Palatino Linotype" w:hAnsi="Palatino Linotype" w:cs="Arial"/>
          <w:b/>
          <w:i/>
          <w:sz w:val="24"/>
          <w:szCs w:val="24"/>
          <w:u w:val="single"/>
        </w:rPr>
        <w:t>en el ámbito de sus competencias</w:t>
      </w:r>
      <w:r w:rsidRPr="004C51A1">
        <w:rPr>
          <w:rFonts w:ascii="Palatino Linotype" w:hAnsi="Palatino Linotype" w:cs="Arial"/>
          <w:b/>
          <w:i/>
          <w:sz w:val="24"/>
          <w:szCs w:val="24"/>
          <w:u w:val="single"/>
        </w:rPr>
        <w:t>,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C51A1" w:rsidRPr="00913D22" w:rsidRDefault="004C51A1" w:rsidP="004C51A1">
      <w:pPr>
        <w:autoSpaceDE w:val="0"/>
        <w:autoSpaceDN w:val="0"/>
        <w:adjustRightInd w:val="0"/>
        <w:spacing w:after="0" w:line="240" w:lineRule="auto"/>
        <w:ind w:left="567" w:right="567"/>
        <w:jc w:val="both"/>
        <w:rPr>
          <w:rFonts w:ascii="Palatino Linotype" w:hAnsi="Palatino Linotype" w:cs="Arial"/>
          <w:i/>
          <w:sz w:val="24"/>
          <w:szCs w:val="24"/>
        </w:rPr>
      </w:pPr>
      <w:r>
        <w:rPr>
          <w:rFonts w:ascii="Palatino Linotype" w:hAnsi="Palatino Linotype" w:cs="Arial"/>
          <w:b/>
          <w:i/>
          <w:sz w:val="24"/>
          <w:szCs w:val="24"/>
        </w:rPr>
        <w:t>…”</w:t>
      </w:r>
    </w:p>
    <w:p w:rsidR="004C51A1" w:rsidRDefault="004C51A1" w:rsidP="006F7C5A">
      <w:pPr>
        <w:spacing w:before="240" w:after="0" w:line="360" w:lineRule="auto"/>
        <w:jc w:val="both"/>
        <w:rPr>
          <w:rFonts w:ascii="Palatino Linotype" w:hAnsi="Palatino Linotype" w:cs="Arial"/>
        </w:rPr>
      </w:pPr>
      <w:r>
        <w:rPr>
          <w:rFonts w:ascii="Palatino Linotype" w:hAnsi="Palatino Linotype" w:cs="Arial"/>
        </w:rPr>
        <w:t xml:space="preserve">Como se dicta en el artículo anterior, todas las autoridades, incluyendo este Órgano Garante, deberán promover, respetar, proteger y garantizar los derechos humanos de conformidad con </w:t>
      </w:r>
      <w:r w:rsidR="00D12557">
        <w:rPr>
          <w:rFonts w:ascii="Palatino Linotype" w:hAnsi="Palatino Linotype" w:cs="Arial"/>
        </w:rPr>
        <w:t>los principios establecidos</w:t>
      </w:r>
      <w:r>
        <w:rPr>
          <w:rFonts w:ascii="Palatino Linotype" w:hAnsi="Palatino Linotype" w:cs="Arial"/>
        </w:rPr>
        <w:t xml:space="preserve"> para tal efecto, </w:t>
      </w:r>
      <w:r w:rsidR="00D12557">
        <w:rPr>
          <w:rFonts w:ascii="Palatino Linotype" w:hAnsi="Palatino Linotype" w:cs="Arial"/>
        </w:rPr>
        <w:t xml:space="preserve">y será </w:t>
      </w:r>
      <w:r w:rsidR="00F84368">
        <w:rPr>
          <w:rFonts w:ascii="Palatino Linotype" w:hAnsi="Palatino Linotype" w:cs="Arial"/>
        </w:rPr>
        <w:t>é</w:t>
      </w:r>
      <w:r w:rsidR="00D12557">
        <w:rPr>
          <w:rFonts w:ascii="Palatino Linotype" w:hAnsi="Palatino Linotype" w:cs="Arial"/>
        </w:rPr>
        <w:t xml:space="preserve">l </w:t>
      </w:r>
      <w:r w:rsidR="001E2A18">
        <w:rPr>
          <w:rFonts w:ascii="Palatino Linotype" w:hAnsi="Palatino Linotype" w:cs="Arial"/>
        </w:rPr>
        <w:t>mismo</w:t>
      </w:r>
      <w:r w:rsidR="00D12557">
        <w:rPr>
          <w:rFonts w:ascii="Palatino Linotype" w:hAnsi="Palatino Linotype" w:cs="Arial"/>
        </w:rPr>
        <w:t xml:space="preserve"> Estado quien </w:t>
      </w:r>
      <w:r w:rsidR="00D12557" w:rsidRPr="00F84368">
        <w:rPr>
          <w:rFonts w:ascii="Palatino Linotype" w:hAnsi="Palatino Linotype" w:cs="Arial"/>
        </w:rPr>
        <w:t xml:space="preserve">se encargue de sancionar y reparara </w:t>
      </w:r>
      <w:r w:rsidR="00466955" w:rsidRPr="00F84368">
        <w:rPr>
          <w:rFonts w:ascii="Palatino Linotype" w:hAnsi="Palatino Linotype" w:cs="Arial"/>
        </w:rPr>
        <w:t>dichas violaciones.</w:t>
      </w:r>
    </w:p>
    <w:p w:rsidR="00964280" w:rsidRDefault="00964280" w:rsidP="006F7C5A">
      <w:pPr>
        <w:spacing w:before="240" w:after="0" w:line="360" w:lineRule="auto"/>
        <w:jc w:val="both"/>
        <w:rPr>
          <w:rFonts w:ascii="Palatino Linotype" w:hAnsi="Palatino Linotype" w:cs="Arial"/>
        </w:rPr>
      </w:pPr>
      <w:r>
        <w:rPr>
          <w:rFonts w:ascii="Palatino Linotype" w:hAnsi="Palatino Linotype" w:cs="Arial"/>
        </w:rPr>
        <w:lastRenderedPageBreak/>
        <w:t>En ese sentido, a los Órganos Garantes en materia de transparencia, acceso a la información pública y protección de datos personales, se les ha encomendado la tutela de dos derechos humanos, el primero de ellos indispensable para el ejercicio de otros, por lo que tanto la Ley General como la Ley del Estado en materia de transparencia y acceso a la información pública, han determinado que cuando se trate de violaciones graves de derechos humanos o delitos de lesa humanidad no se podrá invocar la confidencialidad o reserva de la información:</w:t>
      </w:r>
    </w:p>
    <w:p w:rsidR="00A51D8F" w:rsidRDefault="00A51D8F" w:rsidP="00A51D8F">
      <w:pPr>
        <w:autoSpaceDE w:val="0"/>
        <w:autoSpaceDN w:val="0"/>
        <w:adjustRightInd w:val="0"/>
        <w:spacing w:after="0" w:line="240" w:lineRule="auto"/>
        <w:ind w:left="567" w:right="567"/>
        <w:jc w:val="both"/>
        <w:rPr>
          <w:rFonts w:ascii="Palatino Linotype" w:hAnsi="Palatino Linotype" w:cs="Arial"/>
          <w:b/>
          <w:i/>
          <w:szCs w:val="24"/>
        </w:rPr>
      </w:pPr>
      <w:r>
        <w:rPr>
          <w:rFonts w:ascii="Palatino Linotype" w:hAnsi="Palatino Linotype" w:cs="Arial"/>
          <w:i/>
          <w:szCs w:val="24"/>
        </w:rPr>
        <w:t>“</w:t>
      </w:r>
      <w:r w:rsidRPr="00A51D8F">
        <w:rPr>
          <w:rFonts w:ascii="Palatino Linotype" w:hAnsi="Palatino Linotype" w:cs="Arial"/>
          <w:b/>
          <w:i/>
          <w:szCs w:val="24"/>
        </w:rPr>
        <w:t>LEY GENERAL DE TRANSPARENCIA Y ACCESO A LA INFORMACIÓN PÚBLICA</w:t>
      </w:r>
    </w:p>
    <w:p w:rsidR="00A51D8F" w:rsidRDefault="00A51D8F" w:rsidP="00A51D8F">
      <w:pPr>
        <w:autoSpaceDE w:val="0"/>
        <w:autoSpaceDN w:val="0"/>
        <w:adjustRightInd w:val="0"/>
        <w:spacing w:after="0" w:line="240" w:lineRule="auto"/>
        <w:ind w:left="567" w:right="567"/>
        <w:jc w:val="both"/>
        <w:rPr>
          <w:rFonts w:ascii="Palatino Linotype" w:hAnsi="Palatino Linotype" w:cs="Arial"/>
          <w:i/>
          <w:szCs w:val="24"/>
        </w:rPr>
      </w:pPr>
      <w:r w:rsidRPr="00A51D8F">
        <w:rPr>
          <w:rFonts w:ascii="Palatino Linotype" w:hAnsi="Palatino Linotype" w:cs="Arial"/>
          <w:b/>
          <w:i/>
          <w:szCs w:val="24"/>
        </w:rPr>
        <w:t>Artículo 113.</w:t>
      </w:r>
      <w:r w:rsidRPr="00A51D8F">
        <w:rPr>
          <w:rFonts w:ascii="Palatino Linotype" w:hAnsi="Palatino Linotype" w:cs="Arial"/>
          <w:i/>
          <w:szCs w:val="24"/>
        </w:rPr>
        <w:t xml:space="preserve"> </w:t>
      </w:r>
      <w:r w:rsidRPr="00397215">
        <w:rPr>
          <w:rFonts w:ascii="Palatino Linotype" w:hAnsi="Palatino Linotype" w:cs="Arial"/>
          <w:b/>
          <w:i/>
          <w:szCs w:val="24"/>
        </w:rPr>
        <w:t>Como información reservada podrá clasificarse</w:t>
      </w:r>
      <w:r w:rsidRPr="00A51D8F">
        <w:rPr>
          <w:rFonts w:ascii="Palatino Linotype" w:hAnsi="Palatino Linotype" w:cs="Arial"/>
          <w:i/>
          <w:szCs w:val="24"/>
        </w:rPr>
        <w:t xml:space="preserve"> aquella cuya publicación:</w:t>
      </w:r>
    </w:p>
    <w:p w:rsidR="00A51D8F" w:rsidRPr="00A51D8F" w:rsidRDefault="00A51D8F" w:rsidP="00A51D8F">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w:t>
      </w:r>
    </w:p>
    <w:p w:rsidR="00A51D8F" w:rsidRPr="00397215" w:rsidRDefault="00A51D8F" w:rsidP="00A51D8F">
      <w:pPr>
        <w:autoSpaceDE w:val="0"/>
        <w:autoSpaceDN w:val="0"/>
        <w:adjustRightInd w:val="0"/>
        <w:spacing w:after="0" w:line="240" w:lineRule="auto"/>
        <w:ind w:left="567" w:right="567"/>
        <w:jc w:val="both"/>
        <w:rPr>
          <w:rFonts w:ascii="Palatino Linotype" w:hAnsi="Palatino Linotype" w:cs="Arial"/>
          <w:b/>
          <w:i/>
          <w:szCs w:val="24"/>
          <w:u w:val="single"/>
        </w:rPr>
      </w:pPr>
      <w:r w:rsidRPr="00397215">
        <w:rPr>
          <w:rFonts w:ascii="Palatino Linotype" w:hAnsi="Palatino Linotype" w:cs="Arial"/>
          <w:b/>
          <w:i/>
          <w:szCs w:val="24"/>
        </w:rPr>
        <w:t>III</w:t>
      </w:r>
      <w:r w:rsidRPr="00A51D8F">
        <w:rPr>
          <w:rFonts w:ascii="Palatino Linotype" w:hAnsi="Palatino Linotype" w:cs="Arial"/>
          <w:i/>
          <w:szCs w:val="24"/>
        </w:rPr>
        <w:t xml:space="preserve">. Se entregue al Estado mexicano expresamente con ese carácter o el de confidencial por otro u otros sujetos de derecho internacional, </w:t>
      </w:r>
      <w:r w:rsidRPr="00397215">
        <w:rPr>
          <w:rFonts w:ascii="Palatino Linotype" w:hAnsi="Palatino Linotype" w:cs="Arial"/>
          <w:b/>
          <w:i/>
          <w:szCs w:val="24"/>
          <w:u w:val="single"/>
        </w:rPr>
        <w:t>excepto cuando se trate de violaciones graves de derechos humanos o delitos de lesa humanidad de conformidad con el derecho internacional;</w:t>
      </w:r>
    </w:p>
    <w:p w:rsidR="00A51D8F" w:rsidRPr="00A51D8F" w:rsidRDefault="00A51D8F" w:rsidP="00A51D8F">
      <w:pPr>
        <w:autoSpaceDE w:val="0"/>
        <w:autoSpaceDN w:val="0"/>
        <w:adjustRightInd w:val="0"/>
        <w:spacing w:after="0" w:line="240" w:lineRule="auto"/>
        <w:ind w:left="567" w:right="567"/>
        <w:jc w:val="both"/>
        <w:rPr>
          <w:rFonts w:ascii="Palatino Linotype" w:hAnsi="Palatino Linotype" w:cs="Arial"/>
          <w:b/>
          <w:i/>
          <w:szCs w:val="24"/>
        </w:rPr>
      </w:pPr>
      <w:r w:rsidRPr="00A51D8F">
        <w:rPr>
          <w:rFonts w:ascii="Palatino Linotype" w:hAnsi="Palatino Linotype" w:cs="Arial"/>
          <w:b/>
          <w:i/>
          <w:szCs w:val="24"/>
        </w:rPr>
        <w:t>LEY DE TRANSPARENCIA Y ACCESO A LA INFORMACIÓN PÚBLICA DEL ESTADO DE MÉXICO Y MUNICIPIOS</w:t>
      </w:r>
    </w:p>
    <w:p w:rsidR="00A51D8F" w:rsidRPr="00A51D8F" w:rsidRDefault="00A51D8F" w:rsidP="00A51D8F">
      <w:pPr>
        <w:autoSpaceDE w:val="0"/>
        <w:autoSpaceDN w:val="0"/>
        <w:adjustRightInd w:val="0"/>
        <w:spacing w:after="0" w:line="240" w:lineRule="auto"/>
        <w:ind w:left="567" w:right="567"/>
        <w:jc w:val="both"/>
        <w:rPr>
          <w:rFonts w:ascii="Palatino Linotype" w:hAnsi="Palatino Linotype" w:cs="Arial"/>
          <w:i/>
          <w:szCs w:val="24"/>
        </w:rPr>
      </w:pPr>
      <w:r w:rsidRPr="00397215">
        <w:rPr>
          <w:rFonts w:ascii="Palatino Linotype" w:hAnsi="Palatino Linotype" w:cs="Arial"/>
          <w:b/>
          <w:i/>
          <w:szCs w:val="24"/>
        </w:rPr>
        <w:t>Artículo 5</w:t>
      </w:r>
      <w:r w:rsidRPr="00397215">
        <w:rPr>
          <w:rFonts w:ascii="Palatino Linotype" w:hAnsi="Palatino Linotype" w:cs="Arial"/>
          <w:b/>
          <w:i/>
          <w:szCs w:val="24"/>
          <w:u w:val="single"/>
        </w:rPr>
        <w:t>. No podrá clasificarse como reservada aquella información que esté relacionada con violaciones graves a derechos humanos o delitos de lesa humanidad</w:t>
      </w:r>
      <w:r w:rsidRPr="00A51D8F">
        <w:rPr>
          <w:rFonts w:ascii="Palatino Linotype" w:hAnsi="Palatino Linotype" w:cs="Arial"/>
          <w:i/>
          <w:szCs w:val="24"/>
        </w:rPr>
        <w:t xml:space="preserve">, de conformidad con el derecho nacional o los tratados internacionales de los que el Estado mexicano sea parte. </w:t>
      </w:r>
    </w:p>
    <w:p w:rsidR="00A51D8F" w:rsidRPr="00A51D8F" w:rsidRDefault="00A51D8F" w:rsidP="00A51D8F">
      <w:pPr>
        <w:autoSpaceDE w:val="0"/>
        <w:autoSpaceDN w:val="0"/>
        <w:adjustRightInd w:val="0"/>
        <w:spacing w:after="0" w:line="240" w:lineRule="auto"/>
        <w:ind w:left="567" w:right="567"/>
        <w:jc w:val="both"/>
        <w:rPr>
          <w:rFonts w:ascii="Palatino Linotype" w:hAnsi="Palatino Linotype" w:cs="Arial"/>
          <w:i/>
          <w:szCs w:val="24"/>
        </w:rPr>
      </w:pPr>
      <w:r w:rsidRPr="00A51D8F">
        <w:rPr>
          <w:rFonts w:ascii="Palatino Linotype" w:hAnsi="Palatino Linotype" w:cs="Arial"/>
          <w:i/>
          <w:szCs w:val="24"/>
        </w:rPr>
        <w:t>Ninguna persona será objeto de inquisición judicial o administrativa con el objeto del ejercicio del derecho de acceso a la información, ni se podrá restringir este derecho por vías o medios directos e indirectos.</w:t>
      </w:r>
    </w:p>
    <w:p w:rsidR="00964280" w:rsidRPr="00A51D8F" w:rsidRDefault="00A51D8F" w:rsidP="00A51D8F">
      <w:pPr>
        <w:autoSpaceDE w:val="0"/>
        <w:autoSpaceDN w:val="0"/>
        <w:adjustRightInd w:val="0"/>
        <w:spacing w:after="0" w:line="240" w:lineRule="auto"/>
        <w:ind w:left="567" w:right="567"/>
        <w:jc w:val="both"/>
        <w:rPr>
          <w:rFonts w:ascii="Palatino Linotype" w:hAnsi="Palatino Linotype" w:cs="Arial"/>
          <w:i/>
          <w:szCs w:val="24"/>
        </w:rPr>
      </w:pPr>
      <w:r w:rsidRPr="00397215">
        <w:rPr>
          <w:rFonts w:ascii="Palatino Linotype" w:hAnsi="Palatino Linotype" w:cs="Arial"/>
          <w:b/>
          <w:i/>
          <w:szCs w:val="24"/>
        </w:rPr>
        <w:t xml:space="preserve">Artículo 140. </w:t>
      </w:r>
      <w:r w:rsidRPr="00A51D8F">
        <w:rPr>
          <w:rFonts w:ascii="Palatino Linotype" w:hAnsi="Palatino Linotype" w:cs="Arial"/>
          <w:i/>
          <w:szCs w:val="24"/>
        </w:rPr>
        <w:t xml:space="preserve">El </w:t>
      </w:r>
      <w:r w:rsidRPr="00397215">
        <w:rPr>
          <w:rFonts w:ascii="Palatino Linotype" w:hAnsi="Palatino Linotype" w:cs="Arial"/>
          <w:b/>
          <w:i/>
          <w:szCs w:val="24"/>
        </w:rPr>
        <w:t>acceso a la información pública será restringido excepcionalmente</w:t>
      </w:r>
      <w:r w:rsidRPr="00A51D8F">
        <w:rPr>
          <w:rFonts w:ascii="Palatino Linotype" w:hAnsi="Palatino Linotype" w:cs="Arial"/>
          <w:i/>
          <w:szCs w:val="24"/>
        </w:rPr>
        <w:t>, cuando por razones de interés público, ésta sea clasificada como reservada, conforme a los criterios siguientes:</w:t>
      </w:r>
    </w:p>
    <w:p w:rsidR="00A51D8F" w:rsidRPr="00A51D8F" w:rsidRDefault="00A51D8F" w:rsidP="00A51D8F">
      <w:pPr>
        <w:autoSpaceDE w:val="0"/>
        <w:autoSpaceDN w:val="0"/>
        <w:adjustRightInd w:val="0"/>
        <w:spacing w:after="0" w:line="240" w:lineRule="auto"/>
        <w:ind w:left="567" w:right="567"/>
        <w:jc w:val="both"/>
        <w:rPr>
          <w:rFonts w:ascii="Palatino Linotype" w:hAnsi="Palatino Linotype" w:cs="Arial"/>
          <w:i/>
          <w:szCs w:val="24"/>
        </w:rPr>
      </w:pPr>
      <w:r w:rsidRPr="00A51D8F">
        <w:rPr>
          <w:rFonts w:ascii="Palatino Linotype" w:hAnsi="Palatino Linotype" w:cs="Arial"/>
          <w:i/>
          <w:szCs w:val="24"/>
        </w:rPr>
        <w:t>…</w:t>
      </w:r>
    </w:p>
    <w:p w:rsidR="00A51D8F" w:rsidRPr="00397215" w:rsidRDefault="00A51D8F" w:rsidP="00A51D8F">
      <w:pPr>
        <w:autoSpaceDE w:val="0"/>
        <w:autoSpaceDN w:val="0"/>
        <w:adjustRightInd w:val="0"/>
        <w:spacing w:after="0" w:line="240" w:lineRule="auto"/>
        <w:ind w:left="567" w:right="567"/>
        <w:jc w:val="both"/>
        <w:rPr>
          <w:rFonts w:ascii="Palatino Linotype" w:hAnsi="Palatino Linotype" w:cs="Arial"/>
          <w:b/>
          <w:i/>
          <w:szCs w:val="24"/>
        </w:rPr>
      </w:pPr>
      <w:r w:rsidRPr="00A51D8F">
        <w:rPr>
          <w:rFonts w:ascii="Palatino Linotype" w:hAnsi="Palatino Linotype" w:cs="Arial"/>
          <w:i/>
          <w:szCs w:val="24"/>
        </w:rPr>
        <w:t>III. Se entregue a la Entidad expresamente con ese carácter o el de confidencialidad por otro u otros sujetos de derecho internacional</w:t>
      </w:r>
      <w:r w:rsidRPr="00397215">
        <w:rPr>
          <w:rFonts w:ascii="Palatino Linotype" w:hAnsi="Palatino Linotype" w:cs="Arial"/>
          <w:b/>
          <w:i/>
          <w:szCs w:val="24"/>
        </w:rPr>
        <w:t>, excepto cuando se trate de violaciones graves de derechos humanos o delitos de lesa humanidad de conformidad con el derecho internacional;</w:t>
      </w:r>
    </w:p>
    <w:p w:rsidR="00A51D8F" w:rsidRDefault="00A51D8F" w:rsidP="00A51D8F">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A51D8F" w:rsidRDefault="00397215" w:rsidP="00397215">
      <w:pPr>
        <w:spacing w:before="240" w:after="0" w:line="360" w:lineRule="auto"/>
        <w:jc w:val="both"/>
        <w:rPr>
          <w:rFonts w:ascii="Palatino Linotype" w:hAnsi="Palatino Linotype" w:cs="Arial"/>
        </w:rPr>
      </w:pPr>
      <w:r w:rsidRPr="00397215">
        <w:rPr>
          <w:rFonts w:ascii="Palatino Linotype" w:hAnsi="Palatino Linotype" w:cs="Arial"/>
        </w:rPr>
        <w:lastRenderedPageBreak/>
        <w:t xml:space="preserve">Como se desprende del texto normativo anterior, la información relacionada con violaciones graves a derechos humanos, </w:t>
      </w:r>
      <w:r>
        <w:rPr>
          <w:rFonts w:ascii="Palatino Linotype" w:hAnsi="Palatino Linotype" w:cs="Arial"/>
        </w:rPr>
        <w:t>como lo es la tortura, no podrá clasificarse como información reservada ni confidencial, aún tratándose de averiguaciones previas, ello en virtud del principio de máxima publicidad, mismo que determina que toda la información en posesión de las autoridades es pública y debe garantizarse el acceso a ella, aunque existen excepciones determinadas por la misma Ley, los artículos anteriores determina que a pesar de su clasificación, cuando en ella intervengan casos de violaciones a derechos humanos, ésta deberá ser pública para quien la solicite en el ejercicio del derecho humano de acceso a la información.</w:t>
      </w:r>
    </w:p>
    <w:p w:rsidR="00A51D8F" w:rsidRPr="00F44916" w:rsidRDefault="00200132" w:rsidP="00F44916">
      <w:pPr>
        <w:spacing w:before="240" w:after="0" w:line="360" w:lineRule="auto"/>
        <w:jc w:val="both"/>
        <w:rPr>
          <w:rFonts w:ascii="Palatino Linotype" w:hAnsi="Palatino Linotype" w:cs="Arial"/>
          <w:sz w:val="24"/>
          <w:szCs w:val="24"/>
        </w:rPr>
      </w:pPr>
      <w:r>
        <w:rPr>
          <w:rFonts w:ascii="Palatino Linotype" w:hAnsi="Palatino Linotype" w:cs="Arial"/>
        </w:rPr>
        <w:t>Si bien, la Ponencia encargada de resolver, determinó que</w:t>
      </w:r>
      <w:r w:rsidR="006237EF">
        <w:rPr>
          <w:rFonts w:ascii="Palatino Linotype" w:hAnsi="Palatino Linotype" w:cs="Arial"/>
        </w:rPr>
        <w:t xml:space="preserve"> con fundamento en la fracción I del artículo 142 de la Ley antes citada, </w:t>
      </w:r>
      <w:r>
        <w:rPr>
          <w:rFonts w:ascii="Palatino Linotype" w:hAnsi="Palatino Linotype" w:cs="Arial"/>
        </w:rPr>
        <w:t xml:space="preserve">este Instituto únicamente podría </w:t>
      </w:r>
      <w:r w:rsidR="006237EF">
        <w:rPr>
          <w:rFonts w:ascii="Palatino Linotype" w:hAnsi="Palatino Linotype" w:cs="Arial"/>
          <w:sz w:val="24"/>
          <w:szCs w:val="24"/>
        </w:rPr>
        <w:t>hacer pública la información cuando se trate de violaciones a derechos humanos calificados así por la autoridad competente, lo cierto es que el artículo de referencia también estipula lo siguiente:</w:t>
      </w:r>
    </w:p>
    <w:p w:rsidR="00A51D8F" w:rsidRPr="00F44916" w:rsidRDefault="00F44916" w:rsidP="00F44916">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b/>
          <w:i/>
          <w:szCs w:val="24"/>
        </w:rPr>
        <w:t>“</w:t>
      </w:r>
      <w:r w:rsidR="00A51D8F" w:rsidRPr="00F44916">
        <w:rPr>
          <w:rFonts w:ascii="Palatino Linotype" w:hAnsi="Palatino Linotype" w:cs="Arial"/>
          <w:b/>
          <w:i/>
          <w:szCs w:val="24"/>
        </w:rPr>
        <w:t>Artículo 142.</w:t>
      </w:r>
      <w:r w:rsidR="00A51D8F" w:rsidRPr="00F44916">
        <w:rPr>
          <w:rFonts w:ascii="Palatino Linotype" w:hAnsi="Palatino Linotype" w:cs="Arial"/>
          <w:i/>
          <w:szCs w:val="24"/>
        </w:rPr>
        <w:t xml:space="preserve"> Bajo ninguna circunstancia podrá invocarse el carácter de reservado cuando:</w:t>
      </w:r>
    </w:p>
    <w:p w:rsidR="00A51D8F" w:rsidRPr="00F44916" w:rsidRDefault="00A51D8F" w:rsidP="00F44916">
      <w:pPr>
        <w:pStyle w:val="Prrafodelista"/>
        <w:numPr>
          <w:ilvl w:val="0"/>
          <w:numId w:val="18"/>
        </w:numPr>
        <w:autoSpaceDE w:val="0"/>
        <w:autoSpaceDN w:val="0"/>
        <w:adjustRightInd w:val="0"/>
        <w:spacing w:after="0" w:line="240" w:lineRule="auto"/>
        <w:ind w:right="567"/>
        <w:jc w:val="both"/>
        <w:rPr>
          <w:rFonts w:ascii="Palatino Linotype" w:hAnsi="Palatino Linotype" w:cs="Arial"/>
          <w:i/>
          <w:szCs w:val="24"/>
        </w:rPr>
      </w:pPr>
      <w:r w:rsidRPr="00F44916">
        <w:rPr>
          <w:rFonts w:ascii="Palatino Linotype" w:hAnsi="Palatino Linotype" w:cs="Arial"/>
          <w:i/>
          <w:szCs w:val="24"/>
        </w:rPr>
        <w:t>Se trate de violaciones graves de derechos humanos, calificada así por autoridad competente;</w:t>
      </w:r>
    </w:p>
    <w:p w:rsidR="00A51D8F" w:rsidRPr="00F44916" w:rsidRDefault="00A51D8F" w:rsidP="00F44916">
      <w:pPr>
        <w:pStyle w:val="Prrafodelista"/>
        <w:numPr>
          <w:ilvl w:val="0"/>
          <w:numId w:val="18"/>
        </w:numPr>
        <w:autoSpaceDE w:val="0"/>
        <w:autoSpaceDN w:val="0"/>
        <w:adjustRightInd w:val="0"/>
        <w:spacing w:after="0" w:line="240" w:lineRule="auto"/>
        <w:ind w:right="567"/>
        <w:jc w:val="both"/>
        <w:rPr>
          <w:rFonts w:ascii="Palatino Linotype" w:hAnsi="Palatino Linotype" w:cs="Arial"/>
          <w:b/>
          <w:i/>
          <w:szCs w:val="24"/>
          <w:u w:val="single"/>
        </w:rPr>
      </w:pPr>
      <w:r w:rsidRPr="00F44916">
        <w:rPr>
          <w:rFonts w:ascii="Palatino Linotype" w:hAnsi="Palatino Linotype" w:cs="Arial"/>
          <w:b/>
          <w:i/>
          <w:szCs w:val="24"/>
          <w:u w:val="single"/>
        </w:rPr>
        <w:t>Se trate de la investigación de posibles violaciones graves de derechos humanos aun cuando no exista pronunciamiento previo de autoridad competente, cuando se determine, a partir de criterios cuantitativos y cualitativos la trascendencia social de las violaciones;</w:t>
      </w:r>
      <w:r w:rsidR="00F44916">
        <w:rPr>
          <w:rFonts w:ascii="Palatino Linotype" w:hAnsi="Palatino Linotype" w:cs="Arial"/>
          <w:b/>
          <w:i/>
          <w:szCs w:val="24"/>
          <w:u w:val="single"/>
        </w:rPr>
        <w:t>”</w:t>
      </w:r>
    </w:p>
    <w:p w:rsidR="006E302C" w:rsidRDefault="00483298" w:rsidP="006F7C5A">
      <w:pPr>
        <w:spacing w:before="240" w:after="0" w:line="360" w:lineRule="auto"/>
        <w:jc w:val="both"/>
        <w:rPr>
          <w:rFonts w:ascii="Palatino Linotype" w:hAnsi="Palatino Linotype" w:cs="Arial"/>
        </w:rPr>
      </w:pPr>
      <w:r>
        <w:rPr>
          <w:rFonts w:ascii="Palatino Linotype" w:hAnsi="Palatino Linotype" w:cs="Arial"/>
        </w:rPr>
        <w:t xml:space="preserve">Tal cual lo establece la fracción II del artículo en mérito, tampoco se podrá invocar el carácter de reserva cuando se trate de </w:t>
      </w:r>
      <w:r w:rsidRPr="00483298">
        <w:rPr>
          <w:rFonts w:ascii="Palatino Linotype" w:hAnsi="Palatino Linotype" w:cs="Arial"/>
          <w:i/>
        </w:rPr>
        <w:t>“posibles violaciones aun cuando no se haya pronunciado la autoridad competente”</w:t>
      </w:r>
      <w:r>
        <w:rPr>
          <w:rFonts w:ascii="Palatino Linotype" w:hAnsi="Palatino Linotype" w:cs="Arial"/>
        </w:rPr>
        <w:t xml:space="preserve">, y cuando se determine a través de criterios cuantitativos y cualitativos la trascendencia social de las violaciones, supuesto al que la información materia de la solicitud se ajustaría, por tratarse “presumiblemente” de un hecho de tortura, el cual este Órgano Garante no podría calificar al no poseer la información, </w:t>
      </w:r>
      <w:r>
        <w:rPr>
          <w:rFonts w:ascii="Palatino Linotype" w:hAnsi="Palatino Linotype" w:cs="Arial"/>
        </w:rPr>
        <w:lastRenderedPageBreak/>
        <w:t>empero el Sujeto Obligado sí estaría en posibilidades de determinar la presunta existencia y poner a disposición del recurrente la información de haber sido procedente.</w:t>
      </w:r>
    </w:p>
    <w:p w:rsidR="003E7622" w:rsidRDefault="003E7622" w:rsidP="006F7C5A">
      <w:pPr>
        <w:spacing w:before="240" w:after="0" w:line="360" w:lineRule="auto"/>
        <w:jc w:val="both"/>
        <w:rPr>
          <w:rFonts w:ascii="Palatino Linotype" w:hAnsi="Palatino Linotype" w:cs="Arial"/>
        </w:rPr>
      </w:pPr>
      <w:r>
        <w:rPr>
          <w:rFonts w:ascii="Palatino Linotype" w:hAnsi="Palatino Linotype" w:cs="Arial"/>
        </w:rPr>
        <w:t>Considero lo anterior, ya que el espíritu del Legislador al proponer que la clasificación de la información no procediera en hechos que presuntamente constituyan violaciones a derechos humanos así como delitos de lesa humanidad, ver</w:t>
      </w:r>
      <w:r w:rsidR="005F6A0E">
        <w:rPr>
          <w:rFonts w:ascii="Palatino Linotype" w:hAnsi="Palatino Linotype" w:cs="Arial"/>
        </w:rPr>
        <w:t>sa sobre el derecho a la verdad que hace referencia a una “obligación concreta atribuible a todos los Estados de proporcionar información a las víctimas, familiares y sociedad en conjunto sobre las circunstancias en que se cometieron violaciones graves a los derechos humanos”</w:t>
      </w:r>
      <w:r w:rsidR="005F6A0E">
        <w:rPr>
          <w:rStyle w:val="Refdenotaalpie"/>
          <w:rFonts w:ascii="Palatino Linotype" w:hAnsi="Palatino Linotype" w:cs="Arial"/>
        </w:rPr>
        <w:footnoteReference w:id="2"/>
      </w:r>
      <w:r w:rsidR="00D52AC6">
        <w:rPr>
          <w:rFonts w:ascii="Palatino Linotype" w:hAnsi="Palatino Linotype" w:cs="Arial"/>
        </w:rPr>
        <w:t xml:space="preserve">, es decir, que se tiene la obligación como autoridad del Estado, de rendir cuentas en cuanto a las </w:t>
      </w:r>
      <w:r w:rsidR="00D52AC6" w:rsidRPr="001D3685">
        <w:rPr>
          <w:rFonts w:ascii="Palatino Linotype" w:hAnsi="Palatino Linotype" w:cs="Arial"/>
        </w:rPr>
        <w:t>presuntas violaciones que se hayan cometido por parte del Estado a la sociedad.</w:t>
      </w:r>
    </w:p>
    <w:p w:rsidR="001D3685" w:rsidRDefault="001D3685" w:rsidP="006F7C5A">
      <w:pPr>
        <w:spacing w:before="240" w:after="0" w:line="360" w:lineRule="auto"/>
        <w:jc w:val="both"/>
        <w:rPr>
          <w:rFonts w:ascii="Palatino Linotype" w:hAnsi="Palatino Linotype" w:cs="Arial"/>
        </w:rPr>
      </w:pPr>
      <w:r>
        <w:rPr>
          <w:rFonts w:ascii="Palatino Linotype" w:hAnsi="Palatino Linotype" w:cs="Arial"/>
        </w:rPr>
        <w:t xml:space="preserve">Bajo esa premisa, es importante mencionar que la Corte Interamericana de Derechos Humanos, se ha pronunciado sobre el deber de conservar los archivos vinculados con las graves violaciones de derechos humanos, ya que la recopilación, creación y preservación se consideran obligaciones estatales que derivan del derecho de acceso a la información como “un instrumento para garantizar los derechos </w:t>
      </w:r>
      <w:r w:rsidRPr="00C61DA2">
        <w:rPr>
          <w:rFonts w:ascii="Palatino Linotype" w:hAnsi="Palatino Linotype" w:cs="Arial"/>
        </w:rPr>
        <w:t>de las víctimas de violaciones graves</w:t>
      </w:r>
      <w:r w:rsidR="00EB507D" w:rsidRPr="00C61DA2">
        <w:rPr>
          <w:rFonts w:ascii="Palatino Linotype" w:hAnsi="Palatino Linotype" w:cs="Arial"/>
        </w:rPr>
        <w:t>”</w:t>
      </w:r>
      <w:r w:rsidR="00EB507D" w:rsidRPr="00C61DA2">
        <w:rPr>
          <w:rStyle w:val="Refdenotaalpie"/>
          <w:rFonts w:ascii="Palatino Linotype" w:hAnsi="Palatino Linotype" w:cs="Arial"/>
        </w:rPr>
        <w:footnoteReference w:id="3"/>
      </w:r>
      <w:r w:rsidR="00C61DA2">
        <w:rPr>
          <w:rFonts w:ascii="Palatino Linotype" w:hAnsi="Palatino Linotype" w:cs="Arial"/>
        </w:rPr>
        <w:t>, además se ha establecido como principio rector de derecho de acceso a la información, el principio de máxima divulgación, para garantizar el pleno y efectivo ejercicio de éste derecho.</w:t>
      </w:r>
    </w:p>
    <w:p w:rsidR="00C61DA2" w:rsidRDefault="002E2D29" w:rsidP="006F7C5A">
      <w:pPr>
        <w:spacing w:before="240" w:after="0" w:line="360" w:lineRule="auto"/>
        <w:jc w:val="both"/>
        <w:rPr>
          <w:rFonts w:ascii="Palatino Linotype" w:hAnsi="Palatino Linotype" w:cs="Arial"/>
        </w:rPr>
      </w:pPr>
      <w:r>
        <w:rPr>
          <w:rFonts w:ascii="Palatino Linotype" w:hAnsi="Palatino Linotype" w:cs="Arial"/>
        </w:rPr>
        <w:t>El principio de máxima divulgación se ha reconocido dentro del sistema interamericano de derechos humanos como un principio rector del derecho a buscar, recibir y difundir información consagrado en el artículo 13 de la Convención</w:t>
      </w:r>
      <w:r w:rsidR="001D015C">
        <w:rPr>
          <w:rFonts w:ascii="Palatino Linotype" w:hAnsi="Palatino Linotype" w:cs="Arial"/>
        </w:rPr>
        <w:t xml:space="preserve"> Americana, principio que de acuerdo con la Corte Interamericana tiene tres consecuencias:</w:t>
      </w:r>
    </w:p>
    <w:p w:rsidR="001D015C" w:rsidRPr="001D015C" w:rsidRDefault="001D015C" w:rsidP="001D015C">
      <w:pPr>
        <w:autoSpaceDE w:val="0"/>
        <w:autoSpaceDN w:val="0"/>
        <w:adjustRightInd w:val="0"/>
        <w:spacing w:after="0" w:line="240" w:lineRule="auto"/>
        <w:ind w:left="567" w:right="567"/>
        <w:jc w:val="both"/>
        <w:rPr>
          <w:rFonts w:ascii="Palatino Linotype" w:hAnsi="Palatino Linotype" w:cs="Arial"/>
          <w:b/>
          <w:i/>
          <w:szCs w:val="24"/>
        </w:rPr>
      </w:pPr>
      <w:r>
        <w:rPr>
          <w:rFonts w:ascii="Palatino Linotype" w:hAnsi="Palatino Linotype" w:cs="Arial"/>
          <w:b/>
          <w:i/>
          <w:szCs w:val="24"/>
        </w:rPr>
        <w:lastRenderedPageBreak/>
        <w:t>“</w:t>
      </w:r>
      <w:r w:rsidRPr="001D015C">
        <w:rPr>
          <w:rFonts w:ascii="Palatino Linotype" w:hAnsi="Palatino Linotype" w:cs="Arial"/>
          <w:b/>
          <w:i/>
          <w:szCs w:val="24"/>
        </w:rPr>
        <w:t xml:space="preserve">El principio de máxima divulgación ordena diseñar un régimen jurídico en el cual la transparencia y el derecho de acceso a la información sean la regla general sometida a estrictas y limitadas excepciones. De este principio se derivan las siguientes consecuencias: </w:t>
      </w:r>
      <w:r w:rsidRPr="001D015C">
        <w:rPr>
          <w:rFonts w:ascii="Palatino Linotype" w:hAnsi="Palatino Linotype" w:cs="Arial"/>
          <w:i/>
          <w:szCs w:val="24"/>
        </w:rPr>
        <w:t>(1) el derecho de acceso a la información debe estar sometido a un régimen limitado de excepciones, el cual debe ser interpretado de manera restrictiva, de forma tal que se favorezca el derecho de acceso a la información; (2) toda decisión negativa debe ser motivada y, en este sentido, corresponde al Estado la carga de probar que la información solicitada no puede ser revelada; y (</w:t>
      </w:r>
      <w:r w:rsidRPr="001D015C">
        <w:rPr>
          <w:rFonts w:ascii="Palatino Linotype" w:hAnsi="Palatino Linotype" w:cs="Arial"/>
          <w:b/>
          <w:i/>
          <w:szCs w:val="24"/>
        </w:rPr>
        <w:t>3) ante una duda o un vacío legal, debe primar el derecho de acceso a la información.</w:t>
      </w:r>
      <w:r>
        <w:rPr>
          <w:rFonts w:ascii="Palatino Linotype" w:hAnsi="Palatino Linotype" w:cs="Arial"/>
          <w:b/>
          <w:i/>
          <w:szCs w:val="24"/>
        </w:rPr>
        <w:t>”</w:t>
      </w:r>
      <w:r>
        <w:rPr>
          <w:rStyle w:val="Refdenotaalpie"/>
          <w:rFonts w:ascii="Palatino Linotype" w:hAnsi="Palatino Linotype" w:cs="Arial"/>
          <w:b/>
          <w:i/>
          <w:szCs w:val="24"/>
        </w:rPr>
        <w:footnoteReference w:id="4"/>
      </w:r>
    </w:p>
    <w:p w:rsidR="001D015C" w:rsidRDefault="001D015C" w:rsidP="006F7C5A">
      <w:pPr>
        <w:spacing w:before="240" w:after="0" w:line="360" w:lineRule="auto"/>
        <w:jc w:val="both"/>
        <w:rPr>
          <w:rFonts w:ascii="Palatino Linotype" w:hAnsi="Palatino Linotype" w:cs="Arial"/>
        </w:rPr>
      </w:pPr>
      <w:r>
        <w:rPr>
          <w:rFonts w:ascii="Palatino Linotype" w:hAnsi="Palatino Linotype" w:cs="Arial"/>
        </w:rPr>
        <w:t>Tal cual se advierte, la Corte ha dilucidado que el derecho de acceso a la información obedece al principio de máxima divulgación o máxima publicidad (como se ha integrado en nuestra normatividad) el cual solamente se limita ante un reducido régimen de excepciones, mismas que deberán estar fundadas y motivadas para no violentar éste derecho, sin embargo, la Corte ofrece una tercer consecuencia o aplicación del principio, la cual indica que ante la existencia de una duda o vacío legal en cuanto la publicidad de algún documento en posesión del Estado, deberá primar el derecho de acceso a la información, toda vez que se ha reconocido a éste derecho como un requisito indispensable para el funcionamiento de la democracia</w:t>
      </w:r>
      <w:r>
        <w:rPr>
          <w:rStyle w:val="Refdenotaalpie"/>
          <w:rFonts w:ascii="Palatino Linotype" w:hAnsi="Palatino Linotype" w:cs="Arial"/>
        </w:rPr>
        <w:footnoteReference w:id="5"/>
      </w:r>
      <w:r w:rsidR="00D876C3">
        <w:rPr>
          <w:rFonts w:ascii="Palatino Linotype" w:hAnsi="Palatino Linotype" w:cs="Arial"/>
        </w:rPr>
        <w:t>.</w:t>
      </w:r>
    </w:p>
    <w:p w:rsidR="007A70F2" w:rsidRDefault="002230FB" w:rsidP="006F7C5A">
      <w:pPr>
        <w:spacing w:before="240" w:after="0" w:line="360" w:lineRule="auto"/>
        <w:jc w:val="both"/>
        <w:rPr>
          <w:rFonts w:ascii="Palatino Linotype" w:hAnsi="Palatino Linotype" w:cs="Arial"/>
        </w:rPr>
      </w:pPr>
      <w:r>
        <w:rPr>
          <w:rFonts w:ascii="Palatino Linotype" w:hAnsi="Palatino Linotype" w:cs="Arial"/>
        </w:rPr>
        <w:t>Por lo antes expuesto, es que considero que</w:t>
      </w:r>
      <w:r w:rsidR="007A70F2">
        <w:rPr>
          <w:rFonts w:ascii="Palatino Linotype" w:hAnsi="Palatino Linotype" w:cs="Arial"/>
        </w:rPr>
        <w:t xml:space="preserve"> para resolver la publicidad de</w:t>
      </w:r>
      <w:r>
        <w:rPr>
          <w:rFonts w:ascii="Palatino Linotype" w:hAnsi="Palatino Linotype" w:cs="Arial"/>
        </w:rPr>
        <w:t xml:space="preserve"> la información materia de las solicitudes</w:t>
      </w:r>
      <w:r w:rsidR="007A70F2">
        <w:rPr>
          <w:rFonts w:ascii="Palatino Linotype" w:hAnsi="Palatino Linotype" w:cs="Arial"/>
        </w:rPr>
        <w:t xml:space="preserve">, era necesario realizar un análisis de la normatividad a nivel internacional, para considerar si la calificación a </w:t>
      </w:r>
      <w:r w:rsidR="007A70F2" w:rsidRPr="007A70F2">
        <w:rPr>
          <w:rFonts w:ascii="Palatino Linotype" w:hAnsi="Palatino Linotype" w:cs="Arial"/>
          <w:i/>
        </w:rPr>
        <w:t>prima facie</w:t>
      </w:r>
      <w:r w:rsidR="007A70F2">
        <w:rPr>
          <w:rFonts w:ascii="Palatino Linotype" w:hAnsi="Palatino Linotype" w:cs="Arial"/>
        </w:rPr>
        <w:t xml:space="preserve"> de la posible vulneración a un derecho humano, a través de la tortura, pudiera permitir que se brinde el acceso a los documentos en donde se demuestre dicha situación.</w:t>
      </w:r>
    </w:p>
    <w:p w:rsidR="00E00827" w:rsidRDefault="00E00827" w:rsidP="006F7C5A">
      <w:pPr>
        <w:spacing w:before="240" w:after="0" w:line="360" w:lineRule="auto"/>
        <w:jc w:val="both"/>
        <w:rPr>
          <w:rFonts w:ascii="Palatino Linotype" w:hAnsi="Palatino Linotype" w:cs="Arial"/>
        </w:rPr>
      </w:pPr>
      <w:r>
        <w:rPr>
          <w:rFonts w:ascii="Palatino Linotype" w:hAnsi="Palatino Linotype" w:cs="Arial"/>
        </w:rPr>
        <w:lastRenderedPageBreak/>
        <w:t xml:space="preserve">En conclusión y </w:t>
      </w:r>
      <w:r w:rsidR="00E7138B">
        <w:rPr>
          <w:rFonts w:ascii="Palatino Linotype" w:hAnsi="Palatino Linotype" w:cs="Arial"/>
        </w:rPr>
        <w:t xml:space="preserve">a mi consideración, </w:t>
      </w:r>
      <w:r w:rsidR="00105A5D">
        <w:rPr>
          <w:rFonts w:ascii="Palatino Linotype" w:hAnsi="Palatino Linotype" w:cs="Arial"/>
        </w:rPr>
        <w:t xml:space="preserve">no </w:t>
      </w:r>
      <w:r>
        <w:rPr>
          <w:rFonts w:ascii="Palatino Linotype" w:hAnsi="Palatino Linotype" w:cs="Arial"/>
        </w:rPr>
        <w:t>se</w:t>
      </w:r>
      <w:r w:rsidR="008A627A">
        <w:rPr>
          <w:rFonts w:ascii="Palatino Linotype" w:hAnsi="Palatino Linotype" w:cs="Arial"/>
        </w:rPr>
        <w:t xml:space="preserve"> compartido</w:t>
      </w:r>
      <w:r>
        <w:rPr>
          <w:rFonts w:ascii="Palatino Linotype" w:hAnsi="Palatino Linotype" w:cs="Arial"/>
        </w:rPr>
        <w:t xml:space="preserve"> el sentido de la resolución</w:t>
      </w:r>
      <w:r w:rsidR="008A627A">
        <w:rPr>
          <w:rFonts w:ascii="Palatino Linotype" w:hAnsi="Palatino Linotype" w:cs="Arial"/>
        </w:rPr>
        <w:t xml:space="preserve">, ya que estimo </w:t>
      </w:r>
      <w:r w:rsidR="00E7138B">
        <w:rPr>
          <w:rFonts w:ascii="Palatino Linotype" w:hAnsi="Palatino Linotype" w:cs="Arial"/>
        </w:rPr>
        <w:t xml:space="preserve">resultaba </w:t>
      </w:r>
      <w:r w:rsidR="00B847E3">
        <w:rPr>
          <w:rFonts w:ascii="Palatino Linotype" w:hAnsi="Palatino Linotype" w:cs="Arial"/>
        </w:rPr>
        <w:t>necesario determinara la naturaleza y facultades, tanto del Sujeto Obligado de poseer la información, como de las atribuciones conferidas a este Órgano Garante del derecho humano de acceso a la información pública, que se ha instituido como en mecanismo de acceso al ejercicio de otros derechos y como pilar fundamental de la democracia en el mundo.</w:t>
      </w:r>
    </w:p>
    <w:p w:rsidR="00B72322" w:rsidRDefault="00B72322" w:rsidP="006F7C5A">
      <w:pPr>
        <w:spacing w:before="240" w:after="0" w:line="360" w:lineRule="auto"/>
        <w:jc w:val="both"/>
        <w:rPr>
          <w:rFonts w:ascii="Palatino Linotype" w:hAnsi="Palatino Linotype" w:cs="Arial"/>
        </w:rPr>
      </w:pPr>
      <w:r>
        <w:rPr>
          <w:rFonts w:ascii="Palatino Linotype" w:hAnsi="Palatino Linotype" w:cs="Arial"/>
        </w:rPr>
        <w:t>Por t</w:t>
      </w:r>
      <w:r w:rsidR="0023607D">
        <w:rPr>
          <w:rFonts w:ascii="Palatino Linotype" w:hAnsi="Palatino Linotype" w:cs="Arial"/>
        </w:rPr>
        <w:t>odo lo expuesto es que formulo</w:t>
      </w:r>
      <w:r>
        <w:rPr>
          <w:rFonts w:ascii="Palatino Linotype" w:hAnsi="Palatino Linotype" w:cs="Arial"/>
        </w:rPr>
        <w:t xml:space="preserve"> el presente voto </w:t>
      </w:r>
      <w:r w:rsidR="00403C56">
        <w:rPr>
          <w:rFonts w:ascii="Palatino Linotype" w:hAnsi="Palatino Linotype" w:cs="Arial"/>
        </w:rPr>
        <w:t>disidente</w:t>
      </w:r>
      <w:r>
        <w:rPr>
          <w:rFonts w:ascii="Palatino Linotype" w:hAnsi="Palatino Linotype" w:cs="Arial"/>
        </w:rPr>
        <w:t xml:space="preserve">, en los términos </w:t>
      </w:r>
      <w:r w:rsidR="0023607D">
        <w:rPr>
          <w:rFonts w:ascii="Palatino Linotype" w:hAnsi="Palatino Linotype" w:cs="Arial"/>
        </w:rPr>
        <w:t xml:space="preserve">precisados, </w:t>
      </w:r>
      <w:r w:rsidR="001A5CD9">
        <w:rPr>
          <w:rFonts w:ascii="Palatino Linotype" w:hAnsi="Palatino Linotype" w:cs="Arial"/>
        </w:rPr>
        <w:t>considerando</w:t>
      </w:r>
      <w:r w:rsidR="0023607D">
        <w:rPr>
          <w:rFonts w:ascii="Palatino Linotype" w:hAnsi="Palatino Linotype" w:cs="Arial"/>
        </w:rPr>
        <w:t xml:space="preserve"> que las </w:t>
      </w:r>
      <w:r w:rsidR="001A5CD9">
        <w:rPr>
          <w:rFonts w:ascii="Palatino Linotype" w:hAnsi="Palatino Linotype" w:cs="Arial"/>
        </w:rPr>
        <w:t>reflexiones</w:t>
      </w:r>
      <w:r w:rsidR="0023607D">
        <w:rPr>
          <w:rFonts w:ascii="Palatino Linotype" w:hAnsi="Palatino Linotype" w:cs="Arial"/>
        </w:rPr>
        <w:t xml:space="preserve"> aquí expuestas</w:t>
      </w:r>
      <w:r>
        <w:rPr>
          <w:rFonts w:ascii="Palatino Linotype" w:hAnsi="Palatino Linotype" w:cs="Arial"/>
        </w:rPr>
        <w:t xml:space="preserve"> hubieran resultado </w:t>
      </w:r>
      <w:r w:rsidR="0023607D">
        <w:rPr>
          <w:rFonts w:ascii="Palatino Linotype" w:hAnsi="Palatino Linotype" w:cs="Arial"/>
        </w:rPr>
        <w:t>importantes</w:t>
      </w:r>
      <w:r>
        <w:rPr>
          <w:rFonts w:ascii="Palatino Linotype" w:hAnsi="Palatino Linotype" w:cs="Arial"/>
        </w:rPr>
        <w:t xml:space="preserve"> para </w:t>
      </w:r>
      <w:r w:rsidR="0023607D">
        <w:rPr>
          <w:rFonts w:ascii="Palatino Linotype" w:hAnsi="Palatino Linotype" w:cs="Arial"/>
        </w:rPr>
        <w:t>ordenar la entrega de la información que se hace en el recurso</w:t>
      </w:r>
      <w:r w:rsidR="00D30E7D">
        <w:rPr>
          <w:rFonts w:ascii="Palatino Linotype" w:hAnsi="Palatino Linotype" w:cs="Arial"/>
        </w:rPr>
        <w:t xml:space="preserve"> de </w:t>
      </w:r>
      <w:r>
        <w:rPr>
          <w:rFonts w:ascii="Palatino Linotype" w:hAnsi="Palatino Linotype" w:cs="Arial"/>
        </w:rPr>
        <w:t xml:space="preserve">revisión </w:t>
      </w:r>
      <w:r w:rsidR="0023607D">
        <w:rPr>
          <w:rFonts w:ascii="Palatino Linotype" w:hAnsi="Palatino Linotype" w:cs="Arial"/>
        </w:rPr>
        <w:t>que fue</w:t>
      </w:r>
      <w:r>
        <w:rPr>
          <w:rFonts w:ascii="Palatino Linotype" w:hAnsi="Palatino Linotype" w:cs="Arial"/>
        </w:rPr>
        <w:t xml:space="preserve"> resu</w:t>
      </w:r>
      <w:r w:rsidR="0023607D">
        <w:rPr>
          <w:rFonts w:ascii="Palatino Linotype" w:hAnsi="Palatino Linotype" w:cs="Arial"/>
        </w:rPr>
        <w:t>elto</w:t>
      </w:r>
      <w:r>
        <w:rPr>
          <w:rFonts w:ascii="Palatino Linotype" w:hAnsi="Palatino Linotype" w:cs="Arial"/>
        </w:rPr>
        <w:t xml:space="preserve"> por el Pleno</w:t>
      </w:r>
      <w:r w:rsidR="0023607D">
        <w:rPr>
          <w:rFonts w:ascii="Palatino Linotype" w:hAnsi="Palatino Linotype" w:cs="Arial"/>
        </w:rPr>
        <w:t xml:space="preserve"> de este Instituto, mencionado</w:t>
      </w:r>
      <w:r>
        <w:rPr>
          <w:rFonts w:ascii="Palatino Linotype" w:hAnsi="Palatino Linotype" w:cs="Arial"/>
        </w:rPr>
        <w:t xml:space="preserve">. </w:t>
      </w:r>
    </w:p>
    <w:p w:rsidR="00646ABF" w:rsidRPr="00FD3297" w:rsidRDefault="00646ABF" w:rsidP="006F7C5A">
      <w:pPr>
        <w:spacing w:before="240" w:after="0" w:line="360" w:lineRule="auto"/>
        <w:jc w:val="both"/>
        <w:rPr>
          <w:rFonts w:ascii="Palatino Linotype" w:hAnsi="Palatino Linotype" w:cs="Aria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3607D" w:rsidRPr="00506B07" w:rsidTr="006F7C5A">
        <w:trPr>
          <w:trHeight w:val="809"/>
          <w:jc w:val="center"/>
        </w:trPr>
        <w:tc>
          <w:tcPr>
            <w:tcW w:w="4396" w:type="dxa"/>
          </w:tcPr>
          <w:p w:rsidR="0023607D" w:rsidRDefault="0023607D" w:rsidP="00C75094">
            <w:pPr>
              <w:jc w:val="center"/>
              <w:rPr>
                <w:rFonts w:ascii="Palatino Linotype" w:hAnsi="Palatino Linotype"/>
                <w:b/>
                <w:sz w:val="24"/>
                <w:szCs w:val="24"/>
              </w:rPr>
            </w:pPr>
          </w:p>
          <w:p w:rsidR="0023607D" w:rsidRDefault="0023607D" w:rsidP="00C75094">
            <w:pPr>
              <w:jc w:val="center"/>
              <w:rPr>
                <w:rFonts w:ascii="Palatino Linotype" w:hAnsi="Palatino Linotype"/>
                <w:b/>
                <w:sz w:val="24"/>
                <w:szCs w:val="24"/>
              </w:rPr>
            </w:pPr>
          </w:p>
          <w:p w:rsidR="00EE44E1" w:rsidRDefault="00EE44E1" w:rsidP="00C75094">
            <w:pPr>
              <w:jc w:val="center"/>
              <w:rPr>
                <w:rFonts w:ascii="Palatino Linotype" w:hAnsi="Palatino Linotype"/>
                <w:b/>
                <w:sz w:val="24"/>
                <w:szCs w:val="24"/>
              </w:rPr>
            </w:pPr>
          </w:p>
          <w:p w:rsidR="0023607D" w:rsidRPr="00FF4036" w:rsidRDefault="0023607D" w:rsidP="00C75094">
            <w:pPr>
              <w:jc w:val="center"/>
              <w:rPr>
                <w:rFonts w:ascii="Palatino Linotype" w:hAnsi="Palatino Linotype"/>
                <w:b/>
                <w:sz w:val="24"/>
                <w:szCs w:val="24"/>
              </w:rPr>
            </w:pPr>
            <w:r w:rsidRPr="00506B07">
              <w:rPr>
                <w:rFonts w:ascii="Palatino Linotype" w:hAnsi="Palatino Linotype"/>
                <w:b/>
                <w:sz w:val="24"/>
                <w:szCs w:val="24"/>
              </w:rPr>
              <w:t>Javier Martínez Cruz</w:t>
            </w:r>
          </w:p>
        </w:tc>
      </w:tr>
      <w:tr w:rsidR="0023607D" w:rsidRPr="00506B07" w:rsidTr="006F7C5A">
        <w:trPr>
          <w:trHeight w:val="319"/>
          <w:jc w:val="center"/>
        </w:trPr>
        <w:tc>
          <w:tcPr>
            <w:tcW w:w="4396" w:type="dxa"/>
          </w:tcPr>
          <w:p w:rsidR="0023607D" w:rsidRDefault="0023607D" w:rsidP="00C75094">
            <w:pPr>
              <w:jc w:val="center"/>
              <w:rPr>
                <w:rFonts w:ascii="Palatino Linotype" w:hAnsi="Palatino Linotype"/>
                <w:b/>
                <w:sz w:val="24"/>
                <w:szCs w:val="24"/>
              </w:rPr>
            </w:pPr>
            <w:r w:rsidRPr="00506B07">
              <w:rPr>
                <w:rFonts w:ascii="Palatino Linotype" w:hAnsi="Palatino Linotype"/>
                <w:b/>
                <w:sz w:val="24"/>
                <w:szCs w:val="24"/>
              </w:rPr>
              <w:t>Comisionado</w:t>
            </w:r>
          </w:p>
          <w:p w:rsidR="0023607D" w:rsidRPr="001E17E8" w:rsidRDefault="0023607D" w:rsidP="00A2391F">
            <w:pPr>
              <w:jc w:val="center"/>
              <w:rPr>
                <w:rFonts w:ascii="Palatino Linotype" w:hAnsi="Palatino Linotype"/>
                <w:sz w:val="24"/>
                <w:szCs w:val="24"/>
              </w:rPr>
            </w:pPr>
            <w:bookmarkStart w:id="0" w:name="_GoBack"/>
            <w:bookmarkEnd w:id="0"/>
          </w:p>
        </w:tc>
      </w:tr>
    </w:tbl>
    <w:p w:rsidR="00E95564" w:rsidRPr="00D06490" w:rsidRDefault="00E95564" w:rsidP="00646ABF"/>
    <w:sectPr w:rsidR="00E95564" w:rsidRPr="00D06490" w:rsidSect="003D47A6">
      <w:headerReference w:type="even" r:id="rId8"/>
      <w:headerReference w:type="default" r:id="rId9"/>
      <w:footerReference w:type="even" r:id="rId10"/>
      <w:footerReference w:type="default" r:id="rId11"/>
      <w:headerReference w:type="first" r:id="rId12"/>
      <w:footerReference w:type="first" r:id="rId13"/>
      <w:pgSz w:w="12240" w:h="15840"/>
      <w:pgMar w:top="1276" w:right="1701" w:bottom="221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E18" w:rsidRDefault="00017E18" w:rsidP="004E7F5E">
      <w:pPr>
        <w:spacing w:after="0" w:line="240" w:lineRule="auto"/>
      </w:pPr>
      <w:r>
        <w:separator/>
      </w:r>
    </w:p>
  </w:endnote>
  <w:endnote w:type="continuationSeparator" w:id="0">
    <w:p w:rsidR="00017E18" w:rsidRDefault="00017E18"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B1A" w:rsidRDefault="00592B1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486039"/>
      <w:docPartObj>
        <w:docPartGallery w:val="Page Numbers (Bottom of Page)"/>
        <w:docPartUnique/>
      </w:docPartObj>
    </w:sdtPr>
    <w:sdtEndPr/>
    <w:sdtContent>
      <w:p w:rsidR="00E7138B" w:rsidRDefault="00E7138B">
        <w:pPr>
          <w:pStyle w:val="Piedepgina"/>
          <w:jc w:val="right"/>
        </w:pPr>
        <w:r>
          <w:fldChar w:fldCharType="begin"/>
        </w:r>
        <w:r>
          <w:instrText>PAGE   \* MERGEFORMAT</w:instrText>
        </w:r>
        <w:r>
          <w:fldChar w:fldCharType="separate"/>
        </w:r>
        <w:r w:rsidR="00A2391F" w:rsidRPr="00A2391F">
          <w:rPr>
            <w:noProof/>
            <w:lang w:val="es-ES"/>
          </w:rPr>
          <w:t>8</w:t>
        </w:r>
        <w:r>
          <w:fldChar w:fldCharType="end"/>
        </w:r>
        <w:r w:rsidR="00CF26D3">
          <w:t xml:space="preserve"> de </w:t>
        </w:r>
        <w:r w:rsidR="00592B1A">
          <w:t>9</w:t>
        </w:r>
      </w:p>
    </w:sdtContent>
  </w:sdt>
  <w:p w:rsidR="00E7138B" w:rsidRDefault="00E7138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B1A" w:rsidRDefault="00592B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E18" w:rsidRDefault="00017E18" w:rsidP="004E7F5E">
      <w:pPr>
        <w:spacing w:after="0" w:line="240" w:lineRule="auto"/>
      </w:pPr>
      <w:r>
        <w:separator/>
      </w:r>
    </w:p>
  </w:footnote>
  <w:footnote w:type="continuationSeparator" w:id="0">
    <w:p w:rsidR="00017E18" w:rsidRDefault="00017E18" w:rsidP="004E7F5E">
      <w:pPr>
        <w:spacing w:after="0" w:line="240" w:lineRule="auto"/>
      </w:pPr>
      <w:r>
        <w:continuationSeparator/>
      </w:r>
    </w:p>
  </w:footnote>
  <w:footnote w:id="1">
    <w:p w:rsidR="00994C26" w:rsidRPr="005F6A0E" w:rsidRDefault="00994C26">
      <w:pPr>
        <w:pStyle w:val="Textonotapie"/>
        <w:rPr>
          <w:rFonts w:ascii="Palatino Linotype" w:hAnsi="Palatino Linotype"/>
        </w:rPr>
      </w:pPr>
      <w:r w:rsidRPr="005F6A0E">
        <w:rPr>
          <w:rStyle w:val="Refdenotaalpie"/>
          <w:rFonts w:ascii="Palatino Linotype" w:hAnsi="Palatino Linotype"/>
        </w:rPr>
        <w:footnoteRef/>
      </w:r>
      <w:r w:rsidRPr="005F6A0E">
        <w:rPr>
          <w:rFonts w:ascii="Palatino Linotype" w:hAnsi="Palatino Linotype"/>
        </w:rPr>
        <w:t xml:space="preserve"> Artículo 10 de la Ley Orgánica del Poder Judicial del Estado de México.</w:t>
      </w:r>
    </w:p>
  </w:footnote>
  <w:footnote w:id="2">
    <w:p w:rsidR="005F6A0E" w:rsidRDefault="005F6A0E">
      <w:pPr>
        <w:pStyle w:val="Textonotapie"/>
      </w:pPr>
      <w:r>
        <w:rPr>
          <w:rStyle w:val="Refdenotaalpie"/>
        </w:rPr>
        <w:footnoteRef/>
      </w:r>
      <w:r>
        <w:t xml:space="preserve"> </w:t>
      </w:r>
      <w:r w:rsidRPr="005F6A0E">
        <w:rPr>
          <w:rFonts w:ascii="Palatino Linotype" w:hAnsi="Palatino Linotype"/>
          <w:color w:val="211D1E"/>
        </w:rPr>
        <w:t xml:space="preserve">Naqvi, Y. (2006). El derecho a la verdad en el derecho internacional: ¿realidad o ficción? </w:t>
      </w:r>
      <w:r w:rsidRPr="005F6A0E">
        <w:rPr>
          <w:rFonts w:ascii="Palatino Linotype" w:hAnsi="Palatino Linotype"/>
          <w:i/>
          <w:iCs/>
          <w:color w:val="211D1E"/>
        </w:rPr>
        <w:t>International Review of the Red Cross</w:t>
      </w:r>
      <w:r w:rsidRPr="005F6A0E">
        <w:rPr>
          <w:rFonts w:ascii="Palatino Linotype" w:hAnsi="Palatino Linotype"/>
          <w:color w:val="211D1E"/>
        </w:rPr>
        <w:t>, 33.</w:t>
      </w:r>
    </w:p>
  </w:footnote>
  <w:footnote w:id="3">
    <w:p w:rsidR="00EB507D" w:rsidRDefault="00EB507D">
      <w:pPr>
        <w:pStyle w:val="Textonotapie"/>
      </w:pPr>
      <w:r>
        <w:rPr>
          <w:rStyle w:val="Refdenotaalpie"/>
        </w:rPr>
        <w:footnoteRef/>
      </w:r>
      <w:r>
        <w:t xml:space="preserve"> </w:t>
      </w:r>
      <w:r w:rsidRPr="00EB507D">
        <w:rPr>
          <w:rFonts w:ascii="Palatino Linotype" w:hAnsi="Palatino Linotype"/>
        </w:rPr>
        <w:t>CIDH</w:t>
      </w:r>
      <w:r>
        <w:rPr>
          <w:rFonts w:ascii="Palatino Linotype" w:hAnsi="Palatino Linotype"/>
        </w:rPr>
        <w:t xml:space="preserve"> (2009).</w:t>
      </w:r>
      <w:r w:rsidRPr="00EB507D">
        <w:rPr>
          <w:rFonts w:ascii="Palatino Linotype" w:hAnsi="Palatino Linotype"/>
        </w:rPr>
        <w:t>El Derecho de acceso a la información en el marco jurídico interamericano.</w:t>
      </w:r>
    </w:p>
  </w:footnote>
  <w:footnote w:id="4">
    <w:p w:rsidR="001D015C" w:rsidRPr="00E00827" w:rsidRDefault="001D015C">
      <w:pPr>
        <w:pStyle w:val="Textonotapie"/>
        <w:rPr>
          <w:rFonts w:ascii="Palatino Linotype" w:hAnsi="Palatino Linotype"/>
        </w:rPr>
      </w:pPr>
      <w:r w:rsidRPr="00E00827">
        <w:rPr>
          <w:rStyle w:val="Refdenotaalpie"/>
          <w:rFonts w:ascii="Palatino Linotype" w:hAnsi="Palatino Linotype"/>
        </w:rPr>
        <w:footnoteRef/>
      </w:r>
      <w:r w:rsidRPr="00E00827">
        <w:rPr>
          <w:rFonts w:ascii="Palatino Linotype" w:hAnsi="Palatino Linotype"/>
        </w:rPr>
        <w:t xml:space="preserve"> Ibídem.</w:t>
      </w:r>
    </w:p>
  </w:footnote>
  <w:footnote w:id="5">
    <w:p w:rsidR="001D015C" w:rsidRDefault="001D015C">
      <w:pPr>
        <w:pStyle w:val="Textonotapie"/>
      </w:pPr>
      <w:r w:rsidRPr="00E00827">
        <w:rPr>
          <w:rStyle w:val="Refdenotaalpie"/>
          <w:rFonts w:ascii="Palatino Linotype" w:hAnsi="Palatino Linotype"/>
        </w:rPr>
        <w:footnoteRef/>
      </w:r>
      <w:r w:rsidRPr="00E00827">
        <w:rPr>
          <w:rFonts w:ascii="Palatino Linotype" w:hAnsi="Palatino Linotype"/>
        </w:rPr>
        <w:t xml:space="preserve"> </w:t>
      </w:r>
      <w:r w:rsidRPr="00E00827">
        <w:rPr>
          <w:rFonts w:ascii="Palatino Linotype" w:hAnsi="Palatino Linotype"/>
          <w:sz w:val="18"/>
          <w:szCs w:val="16"/>
          <w:lang w:val="es-ES"/>
        </w:rPr>
        <w:t xml:space="preserve">Asamblea General de la OEA. Resolución 1932 (XXXIII-O/03), “Acceso a la Información Pública: Fortalecimiento de la Democracia”. 10 de junio de 2003; Resolución 2057 (XXXIV-O/04), “Acceso a la Información Pública: Fortalecimiento de la Democracia”. 8 de junio de 2004; Resolución 2121 (XXXV-O/05), “Acceso a la Información Pública: Fortalecimiento de la Democracia”. 7 de junio de 2005; y Resolución 2252 (XXXVI-O/06), “Acceso a la Información Pública: Fortalecimiento de la Democracia”. 6 de junio de 2006. Disponibles para consulta en: </w:t>
      </w:r>
      <w:hyperlink r:id="rId1" w:history="1">
        <w:r w:rsidRPr="00E00827">
          <w:rPr>
            <w:rStyle w:val="Hipervnculo"/>
            <w:rFonts w:ascii="Palatino Linotype" w:hAnsi="Palatino Linotype"/>
            <w:sz w:val="18"/>
            <w:szCs w:val="16"/>
            <w:lang w:val="es-ES"/>
          </w:rPr>
          <w:t>http://www.oas.org/DIL/access_to_information_background.htm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017E1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017E18"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79.4pt;margin-top:-88.9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w:t>
    </w:r>
    <w:r w:rsidR="00903763">
      <w:rPr>
        <w:rFonts w:ascii="Palatino Linotype" w:hAnsi="Palatino Linotype"/>
        <w:b/>
      </w:rPr>
      <w:t>DISIDENTE</w:t>
    </w:r>
  </w:p>
  <w:p w:rsidR="00F16BC6" w:rsidRDefault="00C46947" w:rsidP="005604F4">
    <w:pPr>
      <w:pStyle w:val="Encabezado"/>
      <w:jc w:val="right"/>
    </w:pPr>
    <w:r w:rsidRPr="002A7C5D">
      <w:rPr>
        <w:rFonts w:ascii="Palatino Linotype" w:hAnsi="Palatino Linotype"/>
        <w:b/>
      </w:rPr>
      <w:t xml:space="preserve">RECURSO DE REVISIÓN </w:t>
    </w:r>
    <w:r w:rsidR="005604F4">
      <w:rPr>
        <w:rFonts w:ascii="Palatino Linotype" w:hAnsi="Palatino Linotype" w:cs="Arial"/>
        <w:b/>
        <w:bCs/>
        <w:sz w:val="24"/>
        <w:szCs w:val="24"/>
        <w:lang w:eastAsia="es-MX"/>
      </w:rPr>
      <w:t>0</w:t>
    </w:r>
    <w:r w:rsidR="00253517">
      <w:rPr>
        <w:rFonts w:ascii="Palatino Linotype" w:hAnsi="Palatino Linotype" w:cs="Arial"/>
        <w:b/>
        <w:bCs/>
        <w:sz w:val="24"/>
        <w:szCs w:val="24"/>
        <w:lang w:eastAsia="es-MX"/>
      </w:rPr>
      <w:t>2773</w:t>
    </w:r>
    <w:r w:rsidR="00DD7777">
      <w:rPr>
        <w:rFonts w:ascii="Palatino Linotype" w:hAnsi="Palatino Linotype" w:cs="Arial"/>
        <w:b/>
        <w:bCs/>
        <w:sz w:val="24"/>
        <w:szCs w:val="24"/>
        <w:lang w:eastAsia="es-MX"/>
      </w:rPr>
      <w:t>/INFOEM/AD</w:t>
    </w:r>
    <w:r w:rsidR="00D06490">
      <w:rPr>
        <w:rFonts w:ascii="Palatino Linotype" w:hAnsi="Palatino Linotype" w:cs="Arial"/>
        <w:b/>
        <w:bCs/>
        <w:sz w:val="24"/>
        <w:szCs w:val="24"/>
        <w:lang w:eastAsia="es-MX"/>
      </w:rPr>
      <w:t>/RR</w:t>
    </w:r>
    <w:r w:rsidR="005604F4">
      <w:rPr>
        <w:rFonts w:ascii="Palatino Linotype" w:hAnsi="Palatino Linotype" w:cs="Arial"/>
        <w:b/>
        <w:bCs/>
        <w:sz w:val="24"/>
        <w:szCs w:val="24"/>
        <w:lang w:eastAsia="es-MX"/>
      </w:rPr>
      <w:t>/201</w:t>
    </w:r>
    <w:r w:rsidR="00DD7777">
      <w:rPr>
        <w:rFonts w:ascii="Palatino Linotype" w:hAnsi="Palatino Linotype" w:cs="Arial"/>
        <w:b/>
        <w:bCs/>
        <w:sz w:val="24"/>
        <w:szCs w:val="24"/>
        <w:lang w:eastAsia="es-MX"/>
      </w:rPr>
      <w:t>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017E1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4DB1"/>
    <w:multiLevelType w:val="hybridMultilevel"/>
    <w:tmpl w:val="7FD6B25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23556FB"/>
    <w:multiLevelType w:val="hybridMultilevel"/>
    <w:tmpl w:val="33386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EAB7AF6"/>
    <w:multiLevelType w:val="hybridMultilevel"/>
    <w:tmpl w:val="BB147F4A"/>
    <w:lvl w:ilvl="0" w:tplc="DFD21D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A85480"/>
    <w:multiLevelType w:val="hybridMultilevel"/>
    <w:tmpl w:val="045A2E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FD07C7"/>
    <w:multiLevelType w:val="hybridMultilevel"/>
    <w:tmpl w:val="3C0643D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E1213C"/>
    <w:multiLevelType w:val="hybridMultilevel"/>
    <w:tmpl w:val="4246D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D964FC"/>
    <w:multiLevelType w:val="hybridMultilevel"/>
    <w:tmpl w:val="B9AEF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195C98"/>
    <w:multiLevelType w:val="hybridMultilevel"/>
    <w:tmpl w:val="BA8635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5"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F8481B"/>
    <w:multiLevelType w:val="hybridMultilevel"/>
    <w:tmpl w:val="F636F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9"/>
  </w:num>
  <w:num w:numId="5">
    <w:abstractNumId w:val="13"/>
  </w:num>
  <w:num w:numId="6">
    <w:abstractNumId w:val="15"/>
  </w:num>
  <w:num w:numId="7">
    <w:abstractNumId w:val="17"/>
  </w:num>
  <w:num w:numId="8">
    <w:abstractNumId w:val="6"/>
  </w:num>
  <w:num w:numId="9">
    <w:abstractNumId w:val="14"/>
  </w:num>
  <w:num w:numId="10">
    <w:abstractNumId w:val="12"/>
  </w:num>
  <w:num w:numId="11">
    <w:abstractNumId w:val="16"/>
  </w:num>
  <w:num w:numId="12">
    <w:abstractNumId w:val="11"/>
  </w:num>
  <w:num w:numId="13">
    <w:abstractNumId w:val="10"/>
  </w:num>
  <w:num w:numId="14">
    <w:abstractNumId w:val="4"/>
  </w:num>
  <w:num w:numId="15">
    <w:abstractNumId w:val="0"/>
  </w:num>
  <w:num w:numId="16">
    <w:abstractNumId w:val="1"/>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F6"/>
    <w:rsid w:val="000015B0"/>
    <w:rsid w:val="00001618"/>
    <w:rsid w:val="00004C47"/>
    <w:rsid w:val="000060D4"/>
    <w:rsid w:val="000116E0"/>
    <w:rsid w:val="00011C09"/>
    <w:rsid w:val="000157D6"/>
    <w:rsid w:val="00017E18"/>
    <w:rsid w:val="00021FAC"/>
    <w:rsid w:val="00022600"/>
    <w:rsid w:val="000251C8"/>
    <w:rsid w:val="00025768"/>
    <w:rsid w:val="00027495"/>
    <w:rsid w:val="00031C45"/>
    <w:rsid w:val="000322F5"/>
    <w:rsid w:val="00034A90"/>
    <w:rsid w:val="000352DD"/>
    <w:rsid w:val="00037035"/>
    <w:rsid w:val="00043560"/>
    <w:rsid w:val="00045F43"/>
    <w:rsid w:val="00054E1E"/>
    <w:rsid w:val="00055383"/>
    <w:rsid w:val="000556A8"/>
    <w:rsid w:val="00056A42"/>
    <w:rsid w:val="00057D96"/>
    <w:rsid w:val="00066649"/>
    <w:rsid w:val="00067681"/>
    <w:rsid w:val="000718C0"/>
    <w:rsid w:val="000724A4"/>
    <w:rsid w:val="000742E3"/>
    <w:rsid w:val="00077198"/>
    <w:rsid w:val="00077EBA"/>
    <w:rsid w:val="00081AFF"/>
    <w:rsid w:val="00081C48"/>
    <w:rsid w:val="000876A2"/>
    <w:rsid w:val="00087FB7"/>
    <w:rsid w:val="00090025"/>
    <w:rsid w:val="000919AF"/>
    <w:rsid w:val="0009246D"/>
    <w:rsid w:val="000937E7"/>
    <w:rsid w:val="00096010"/>
    <w:rsid w:val="00096D99"/>
    <w:rsid w:val="000A0AC6"/>
    <w:rsid w:val="000A0EDF"/>
    <w:rsid w:val="000A3419"/>
    <w:rsid w:val="000A42B1"/>
    <w:rsid w:val="000A460A"/>
    <w:rsid w:val="000B106B"/>
    <w:rsid w:val="000C31DE"/>
    <w:rsid w:val="000C390D"/>
    <w:rsid w:val="000C56D0"/>
    <w:rsid w:val="000C5730"/>
    <w:rsid w:val="000D14F0"/>
    <w:rsid w:val="000D3D02"/>
    <w:rsid w:val="000E07A9"/>
    <w:rsid w:val="000E4FD5"/>
    <w:rsid w:val="000E6F9C"/>
    <w:rsid w:val="000E743E"/>
    <w:rsid w:val="000F17E0"/>
    <w:rsid w:val="000F189B"/>
    <w:rsid w:val="000F1BAF"/>
    <w:rsid w:val="000F31C1"/>
    <w:rsid w:val="000F39DD"/>
    <w:rsid w:val="000F7639"/>
    <w:rsid w:val="0010020A"/>
    <w:rsid w:val="00101DBA"/>
    <w:rsid w:val="00104D96"/>
    <w:rsid w:val="00105A5D"/>
    <w:rsid w:val="00107347"/>
    <w:rsid w:val="00107EC2"/>
    <w:rsid w:val="001111B0"/>
    <w:rsid w:val="00112C9B"/>
    <w:rsid w:val="00116761"/>
    <w:rsid w:val="00116AE2"/>
    <w:rsid w:val="00116B65"/>
    <w:rsid w:val="00120A74"/>
    <w:rsid w:val="0012242E"/>
    <w:rsid w:val="00122651"/>
    <w:rsid w:val="00130958"/>
    <w:rsid w:val="00130E1D"/>
    <w:rsid w:val="00132719"/>
    <w:rsid w:val="00132972"/>
    <w:rsid w:val="0013341A"/>
    <w:rsid w:val="00136EDB"/>
    <w:rsid w:val="00140EA7"/>
    <w:rsid w:val="00144C74"/>
    <w:rsid w:val="00145434"/>
    <w:rsid w:val="00146F5D"/>
    <w:rsid w:val="001474AE"/>
    <w:rsid w:val="001509E6"/>
    <w:rsid w:val="00151E1A"/>
    <w:rsid w:val="0015327E"/>
    <w:rsid w:val="00153946"/>
    <w:rsid w:val="001569F0"/>
    <w:rsid w:val="001633C9"/>
    <w:rsid w:val="001641CD"/>
    <w:rsid w:val="001674D2"/>
    <w:rsid w:val="00170CAC"/>
    <w:rsid w:val="00170F88"/>
    <w:rsid w:val="001723DC"/>
    <w:rsid w:val="00173BBE"/>
    <w:rsid w:val="001749BF"/>
    <w:rsid w:val="0017514A"/>
    <w:rsid w:val="00182157"/>
    <w:rsid w:val="00184959"/>
    <w:rsid w:val="00185F02"/>
    <w:rsid w:val="00194E9A"/>
    <w:rsid w:val="0019565B"/>
    <w:rsid w:val="001960A6"/>
    <w:rsid w:val="00197702"/>
    <w:rsid w:val="001A1018"/>
    <w:rsid w:val="001A200B"/>
    <w:rsid w:val="001A2486"/>
    <w:rsid w:val="001A4C6F"/>
    <w:rsid w:val="001A5CD9"/>
    <w:rsid w:val="001B2E18"/>
    <w:rsid w:val="001B435E"/>
    <w:rsid w:val="001C223A"/>
    <w:rsid w:val="001C5252"/>
    <w:rsid w:val="001C58A6"/>
    <w:rsid w:val="001D002F"/>
    <w:rsid w:val="001D015C"/>
    <w:rsid w:val="001D3387"/>
    <w:rsid w:val="001D3685"/>
    <w:rsid w:val="001D3FD4"/>
    <w:rsid w:val="001D425C"/>
    <w:rsid w:val="001D4E73"/>
    <w:rsid w:val="001D54E8"/>
    <w:rsid w:val="001D5A99"/>
    <w:rsid w:val="001D63A6"/>
    <w:rsid w:val="001E17E8"/>
    <w:rsid w:val="001E2A18"/>
    <w:rsid w:val="001E31F8"/>
    <w:rsid w:val="001E33C5"/>
    <w:rsid w:val="001E3F78"/>
    <w:rsid w:val="001E67A8"/>
    <w:rsid w:val="001E76E7"/>
    <w:rsid w:val="001F0194"/>
    <w:rsid w:val="00200132"/>
    <w:rsid w:val="00201535"/>
    <w:rsid w:val="00203D6F"/>
    <w:rsid w:val="0020670F"/>
    <w:rsid w:val="00210753"/>
    <w:rsid w:val="00214F41"/>
    <w:rsid w:val="002156F4"/>
    <w:rsid w:val="00222983"/>
    <w:rsid w:val="00222E6F"/>
    <w:rsid w:val="002230FB"/>
    <w:rsid w:val="002261E8"/>
    <w:rsid w:val="00230D57"/>
    <w:rsid w:val="00232C74"/>
    <w:rsid w:val="00232C86"/>
    <w:rsid w:val="002337F8"/>
    <w:rsid w:val="00233F68"/>
    <w:rsid w:val="002350CD"/>
    <w:rsid w:val="00235E34"/>
    <w:rsid w:val="0023607D"/>
    <w:rsid w:val="0023687B"/>
    <w:rsid w:val="002412C3"/>
    <w:rsid w:val="00251554"/>
    <w:rsid w:val="00251938"/>
    <w:rsid w:val="00251A53"/>
    <w:rsid w:val="00253517"/>
    <w:rsid w:val="002535ED"/>
    <w:rsid w:val="002537DC"/>
    <w:rsid w:val="00253FFE"/>
    <w:rsid w:val="00255475"/>
    <w:rsid w:val="00255F64"/>
    <w:rsid w:val="00256C42"/>
    <w:rsid w:val="00257CFE"/>
    <w:rsid w:val="00261762"/>
    <w:rsid w:val="00261B1F"/>
    <w:rsid w:val="0026218D"/>
    <w:rsid w:val="002659B1"/>
    <w:rsid w:val="00266B16"/>
    <w:rsid w:val="002702A4"/>
    <w:rsid w:val="00270C99"/>
    <w:rsid w:val="00273BE0"/>
    <w:rsid w:val="002768A4"/>
    <w:rsid w:val="0027781D"/>
    <w:rsid w:val="0027797A"/>
    <w:rsid w:val="00282114"/>
    <w:rsid w:val="0028230C"/>
    <w:rsid w:val="00282D10"/>
    <w:rsid w:val="002854AF"/>
    <w:rsid w:val="00286D17"/>
    <w:rsid w:val="0028787D"/>
    <w:rsid w:val="00290395"/>
    <w:rsid w:val="00293F5C"/>
    <w:rsid w:val="00295B3B"/>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D30A8"/>
    <w:rsid w:val="002E0C12"/>
    <w:rsid w:val="002E2D29"/>
    <w:rsid w:val="002E44ED"/>
    <w:rsid w:val="002E4C3F"/>
    <w:rsid w:val="002F3106"/>
    <w:rsid w:val="002F5A16"/>
    <w:rsid w:val="00301664"/>
    <w:rsid w:val="00306340"/>
    <w:rsid w:val="00307366"/>
    <w:rsid w:val="0031071E"/>
    <w:rsid w:val="00315D1F"/>
    <w:rsid w:val="003201EE"/>
    <w:rsid w:val="00320938"/>
    <w:rsid w:val="00321CF3"/>
    <w:rsid w:val="003449BA"/>
    <w:rsid w:val="00347B55"/>
    <w:rsid w:val="00350062"/>
    <w:rsid w:val="00353B12"/>
    <w:rsid w:val="003633CF"/>
    <w:rsid w:val="00363719"/>
    <w:rsid w:val="003655A3"/>
    <w:rsid w:val="003670FA"/>
    <w:rsid w:val="00373349"/>
    <w:rsid w:val="0037354C"/>
    <w:rsid w:val="00375858"/>
    <w:rsid w:val="00381C9C"/>
    <w:rsid w:val="003826E3"/>
    <w:rsid w:val="00385516"/>
    <w:rsid w:val="00386D79"/>
    <w:rsid w:val="003919CE"/>
    <w:rsid w:val="00392E5E"/>
    <w:rsid w:val="003959D4"/>
    <w:rsid w:val="00395EFC"/>
    <w:rsid w:val="00397215"/>
    <w:rsid w:val="003972A2"/>
    <w:rsid w:val="003A2F7F"/>
    <w:rsid w:val="003A3C8A"/>
    <w:rsid w:val="003B1072"/>
    <w:rsid w:val="003B3070"/>
    <w:rsid w:val="003B36D2"/>
    <w:rsid w:val="003B3C36"/>
    <w:rsid w:val="003B5016"/>
    <w:rsid w:val="003B5FBF"/>
    <w:rsid w:val="003B7BE5"/>
    <w:rsid w:val="003C0F45"/>
    <w:rsid w:val="003C1430"/>
    <w:rsid w:val="003C2717"/>
    <w:rsid w:val="003C55B3"/>
    <w:rsid w:val="003C5FDD"/>
    <w:rsid w:val="003D0592"/>
    <w:rsid w:val="003D1042"/>
    <w:rsid w:val="003D235F"/>
    <w:rsid w:val="003D2D47"/>
    <w:rsid w:val="003D3DF0"/>
    <w:rsid w:val="003D47A6"/>
    <w:rsid w:val="003D7E1D"/>
    <w:rsid w:val="003E0390"/>
    <w:rsid w:val="003E1C90"/>
    <w:rsid w:val="003E22D1"/>
    <w:rsid w:val="003E511E"/>
    <w:rsid w:val="003E7622"/>
    <w:rsid w:val="003E7FD7"/>
    <w:rsid w:val="003F3A59"/>
    <w:rsid w:val="003F54EA"/>
    <w:rsid w:val="003F6045"/>
    <w:rsid w:val="00403C56"/>
    <w:rsid w:val="00404AC4"/>
    <w:rsid w:val="00404F09"/>
    <w:rsid w:val="0041214A"/>
    <w:rsid w:val="004138DF"/>
    <w:rsid w:val="00415574"/>
    <w:rsid w:val="00415C72"/>
    <w:rsid w:val="0041600F"/>
    <w:rsid w:val="00416635"/>
    <w:rsid w:val="00421827"/>
    <w:rsid w:val="00423F5C"/>
    <w:rsid w:val="004265F4"/>
    <w:rsid w:val="00427908"/>
    <w:rsid w:val="0043077C"/>
    <w:rsid w:val="00432641"/>
    <w:rsid w:val="004332ED"/>
    <w:rsid w:val="0043498E"/>
    <w:rsid w:val="00435C2D"/>
    <w:rsid w:val="0044097B"/>
    <w:rsid w:val="004410A9"/>
    <w:rsid w:val="004440C2"/>
    <w:rsid w:val="00446A1B"/>
    <w:rsid w:val="00446B6C"/>
    <w:rsid w:val="004525B0"/>
    <w:rsid w:val="00452DD8"/>
    <w:rsid w:val="00454588"/>
    <w:rsid w:val="004607C5"/>
    <w:rsid w:val="00466955"/>
    <w:rsid w:val="00466A2B"/>
    <w:rsid w:val="00466B45"/>
    <w:rsid w:val="00467261"/>
    <w:rsid w:val="00473E92"/>
    <w:rsid w:val="0047565B"/>
    <w:rsid w:val="00476ED1"/>
    <w:rsid w:val="00477A5A"/>
    <w:rsid w:val="004809B9"/>
    <w:rsid w:val="00482566"/>
    <w:rsid w:val="00483259"/>
    <w:rsid w:val="00483298"/>
    <w:rsid w:val="00483FF7"/>
    <w:rsid w:val="00484E40"/>
    <w:rsid w:val="00486781"/>
    <w:rsid w:val="00486DE4"/>
    <w:rsid w:val="00491129"/>
    <w:rsid w:val="0049314A"/>
    <w:rsid w:val="004A028F"/>
    <w:rsid w:val="004A0E49"/>
    <w:rsid w:val="004A1AA8"/>
    <w:rsid w:val="004A1F2E"/>
    <w:rsid w:val="004A39EA"/>
    <w:rsid w:val="004A41E2"/>
    <w:rsid w:val="004A4E01"/>
    <w:rsid w:val="004B4ECC"/>
    <w:rsid w:val="004B5954"/>
    <w:rsid w:val="004B63AD"/>
    <w:rsid w:val="004B7785"/>
    <w:rsid w:val="004B7892"/>
    <w:rsid w:val="004C1C0C"/>
    <w:rsid w:val="004C381C"/>
    <w:rsid w:val="004C51A1"/>
    <w:rsid w:val="004C5C58"/>
    <w:rsid w:val="004C7553"/>
    <w:rsid w:val="004C7C6B"/>
    <w:rsid w:val="004D12D8"/>
    <w:rsid w:val="004D1908"/>
    <w:rsid w:val="004D238D"/>
    <w:rsid w:val="004D3264"/>
    <w:rsid w:val="004D5453"/>
    <w:rsid w:val="004D7269"/>
    <w:rsid w:val="004E114C"/>
    <w:rsid w:val="004E1586"/>
    <w:rsid w:val="004E2DA5"/>
    <w:rsid w:val="004E34A3"/>
    <w:rsid w:val="004E6098"/>
    <w:rsid w:val="004E7F5E"/>
    <w:rsid w:val="004F252E"/>
    <w:rsid w:val="004F3187"/>
    <w:rsid w:val="004F6367"/>
    <w:rsid w:val="004F68DC"/>
    <w:rsid w:val="004F6AF1"/>
    <w:rsid w:val="00504707"/>
    <w:rsid w:val="00506FCB"/>
    <w:rsid w:val="00514DB3"/>
    <w:rsid w:val="00515C4C"/>
    <w:rsid w:val="0051787F"/>
    <w:rsid w:val="00520069"/>
    <w:rsid w:val="0052147B"/>
    <w:rsid w:val="0052194C"/>
    <w:rsid w:val="00521A0F"/>
    <w:rsid w:val="00523FF3"/>
    <w:rsid w:val="005243AD"/>
    <w:rsid w:val="00527157"/>
    <w:rsid w:val="005309F8"/>
    <w:rsid w:val="00530B1C"/>
    <w:rsid w:val="0053498D"/>
    <w:rsid w:val="0054397E"/>
    <w:rsid w:val="00543EEF"/>
    <w:rsid w:val="005449A2"/>
    <w:rsid w:val="005459A2"/>
    <w:rsid w:val="00547484"/>
    <w:rsid w:val="00551748"/>
    <w:rsid w:val="00552D85"/>
    <w:rsid w:val="00553818"/>
    <w:rsid w:val="00554693"/>
    <w:rsid w:val="005548A6"/>
    <w:rsid w:val="00554DCD"/>
    <w:rsid w:val="00556CA8"/>
    <w:rsid w:val="005604F4"/>
    <w:rsid w:val="0056315B"/>
    <w:rsid w:val="00564F2E"/>
    <w:rsid w:val="00575A23"/>
    <w:rsid w:val="005765BC"/>
    <w:rsid w:val="005776B7"/>
    <w:rsid w:val="00581E6C"/>
    <w:rsid w:val="00582061"/>
    <w:rsid w:val="005830E3"/>
    <w:rsid w:val="00590084"/>
    <w:rsid w:val="005906A0"/>
    <w:rsid w:val="00591560"/>
    <w:rsid w:val="00592636"/>
    <w:rsid w:val="00592B1A"/>
    <w:rsid w:val="0059772D"/>
    <w:rsid w:val="00597AF1"/>
    <w:rsid w:val="005A33FA"/>
    <w:rsid w:val="005A3C30"/>
    <w:rsid w:val="005A60F4"/>
    <w:rsid w:val="005A684B"/>
    <w:rsid w:val="005A73D5"/>
    <w:rsid w:val="005B05C7"/>
    <w:rsid w:val="005B24E5"/>
    <w:rsid w:val="005B3410"/>
    <w:rsid w:val="005B3EBA"/>
    <w:rsid w:val="005B66FD"/>
    <w:rsid w:val="005B6B4C"/>
    <w:rsid w:val="005B6F86"/>
    <w:rsid w:val="005B71F8"/>
    <w:rsid w:val="005C0691"/>
    <w:rsid w:val="005C08E0"/>
    <w:rsid w:val="005C315A"/>
    <w:rsid w:val="005C5788"/>
    <w:rsid w:val="005C7FFC"/>
    <w:rsid w:val="005D571A"/>
    <w:rsid w:val="005D7711"/>
    <w:rsid w:val="005E06BC"/>
    <w:rsid w:val="005E3752"/>
    <w:rsid w:val="005E385C"/>
    <w:rsid w:val="005E440C"/>
    <w:rsid w:val="005E61BD"/>
    <w:rsid w:val="005E7968"/>
    <w:rsid w:val="005E7E37"/>
    <w:rsid w:val="005F048A"/>
    <w:rsid w:val="005F39F9"/>
    <w:rsid w:val="005F6A08"/>
    <w:rsid w:val="005F6A0E"/>
    <w:rsid w:val="005F7076"/>
    <w:rsid w:val="00601212"/>
    <w:rsid w:val="00603C38"/>
    <w:rsid w:val="00606DDB"/>
    <w:rsid w:val="00611681"/>
    <w:rsid w:val="00611952"/>
    <w:rsid w:val="00611DF2"/>
    <w:rsid w:val="00616274"/>
    <w:rsid w:val="0062043B"/>
    <w:rsid w:val="00620E67"/>
    <w:rsid w:val="00621C35"/>
    <w:rsid w:val="00622D24"/>
    <w:rsid w:val="006237EF"/>
    <w:rsid w:val="00627BF2"/>
    <w:rsid w:val="00632045"/>
    <w:rsid w:val="0063295E"/>
    <w:rsid w:val="00635658"/>
    <w:rsid w:val="006406DD"/>
    <w:rsid w:val="0064261A"/>
    <w:rsid w:val="00646ABF"/>
    <w:rsid w:val="006510AA"/>
    <w:rsid w:val="0065199A"/>
    <w:rsid w:val="00655898"/>
    <w:rsid w:val="00656A53"/>
    <w:rsid w:val="00660074"/>
    <w:rsid w:val="006628B8"/>
    <w:rsid w:val="00662BB1"/>
    <w:rsid w:val="006645F8"/>
    <w:rsid w:val="00667B95"/>
    <w:rsid w:val="00671D19"/>
    <w:rsid w:val="006736DB"/>
    <w:rsid w:val="006749BC"/>
    <w:rsid w:val="00676933"/>
    <w:rsid w:val="0068108C"/>
    <w:rsid w:val="00682BB3"/>
    <w:rsid w:val="00683514"/>
    <w:rsid w:val="00683CCD"/>
    <w:rsid w:val="0068651D"/>
    <w:rsid w:val="00687FF3"/>
    <w:rsid w:val="006908C3"/>
    <w:rsid w:val="00693F7C"/>
    <w:rsid w:val="00694784"/>
    <w:rsid w:val="006953FF"/>
    <w:rsid w:val="006A01D8"/>
    <w:rsid w:val="006A3448"/>
    <w:rsid w:val="006A58FB"/>
    <w:rsid w:val="006B0468"/>
    <w:rsid w:val="006B29C2"/>
    <w:rsid w:val="006B3E1F"/>
    <w:rsid w:val="006B5E8A"/>
    <w:rsid w:val="006B5F1F"/>
    <w:rsid w:val="006B648F"/>
    <w:rsid w:val="006C3250"/>
    <w:rsid w:val="006C55A2"/>
    <w:rsid w:val="006D2799"/>
    <w:rsid w:val="006E0AEC"/>
    <w:rsid w:val="006E2A9B"/>
    <w:rsid w:val="006E302C"/>
    <w:rsid w:val="006E3A08"/>
    <w:rsid w:val="006E6222"/>
    <w:rsid w:val="006F616D"/>
    <w:rsid w:val="006F7C5A"/>
    <w:rsid w:val="007006D3"/>
    <w:rsid w:val="00702EC9"/>
    <w:rsid w:val="007055BB"/>
    <w:rsid w:val="00705865"/>
    <w:rsid w:val="0070743B"/>
    <w:rsid w:val="00707FBC"/>
    <w:rsid w:val="00711D0C"/>
    <w:rsid w:val="00715E8F"/>
    <w:rsid w:val="007161AC"/>
    <w:rsid w:val="007161D0"/>
    <w:rsid w:val="00720D0B"/>
    <w:rsid w:val="00724ABC"/>
    <w:rsid w:val="007267E7"/>
    <w:rsid w:val="00733B37"/>
    <w:rsid w:val="00733C88"/>
    <w:rsid w:val="00735F99"/>
    <w:rsid w:val="0074016E"/>
    <w:rsid w:val="007409FD"/>
    <w:rsid w:val="007411E3"/>
    <w:rsid w:val="00742921"/>
    <w:rsid w:val="0074485A"/>
    <w:rsid w:val="00745B7B"/>
    <w:rsid w:val="00751804"/>
    <w:rsid w:val="00753328"/>
    <w:rsid w:val="007551CB"/>
    <w:rsid w:val="007622A3"/>
    <w:rsid w:val="00762615"/>
    <w:rsid w:val="00763242"/>
    <w:rsid w:val="00764273"/>
    <w:rsid w:val="00767776"/>
    <w:rsid w:val="00767DBE"/>
    <w:rsid w:val="00771214"/>
    <w:rsid w:val="0077170A"/>
    <w:rsid w:val="00771984"/>
    <w:rsid w:val="00773FC0"/>
    <w:rsid w:val="00784989"/>
    <w:rsid w:val="007850CB"/>
    <w:rsid w:val="00790E57"/>
    <w:rsid w:val="00792896"/>
    <w:rsid w:val="00794B8C"/>
    <w:rsid w:val="007A0AFB"/>
    <w:rsid w:val="007A18E4"/>
    <w:rsid w:val="007A5363"/>
    <w:rsid w:val="007A5FB6"/>
    <w:rsid w:val="007A70F2"/>
    <w:rsid w:val="007A7BF6"/>
    <w:rsid w:val="007B10BA"/>
    <w:rsid w:val="007B19F1"/>
    <w:rsid w:val="007B41CD"/>
    <w:rsid w:val="007B69EA"/>
    <w:rsid w:val="007C6FF1"/>
    <w:rsid w:val="007D2C55"/>
    <w:rsid w:val="007D667D"/>
    <w:rsid w:val="007D6E6B"/>
    <w:rsid w:val="007D74E6"/>
    <w:rsid w:val="007E0D46"/>
    <w:rsid w:val="007E3030"/>
    <w:rsid w:val="007F3483"/>
    <w:rsid w:val="007F3613"/>
    <w:rsid w:val="007F496E"/>
    <w:rsid w:val="007F4A64"/>
    <w:rsid w:val="008000C6"/>
    <w:rsid w:val="00800105"/>
    <w:rsid w:val="0080079A"/>
    <w:rsid w:val="00801167"/>
    <w:rsid w:val="0080231B"/>
    <w:rsid w:val="00802B9C"/>
    <w:rsid w:val="00804413"/>
    <w:rsid w:val="00805C01"/>
    <w:rsid w:val="00807C04"/>
    <w:rsid w:val="00810B26"/>
    <w:rsid w:val="00811478"/>
    <w:rsid w:val="00812D63"/>
    <w:rsid w:val="00813331"/>
    <w:rsid w:val="0081376E"/>
    <w:rsid w:val="00822844"/>
    <w:rsid w:val="008262F7"/>
    <w:rsid w:val="00827823"/>
    <w:rsid w:val="00827F75"/>
    <w:rsid w:val="00832161"/>
    <w:rsid w:val="00832E5F"/>
    <w:rsid w:val="00835727"/>
    <w:rsid w:val="008516F2"/>
    <w:rsid w:val="00852329"/>
    <w:rsid w:val="0085292D"/>
    <w:rsid w:val="00854AC4"/>
    <w:rsid w:val="00857730"/>
    <w:rsid w:val="00863B81"/>
    <w:rsid w:val="00866BB2"/>
    <w:rsid w:val="00870442"/>
    <w:rsid w:val="008729B1"/>
    <w:rsid w:val="00872FD1"/>
    <w:rsid w:val="008800B0"/>
    <w:rsid w:val="0088116F"/>
    <w:rsid w:val="0088188F"/>
    <w:rsid w:val="00882092"/>
    <w:rsid w:val="008830F8"/>
    <w:rsid w:val="00883EC1"/>
    <w:rsid w:val="00885471"/>
    <w:rsid w:val="008942E2"/>
    <w:rsid w:val="00897ED1"/>
    <w:rsid w:val="008A144C"/>
    <w:rsid w:val="008A1AB0"/>
    <w:rsid w:val="008A2DF5"/>
    <w:rsid w:val="008A3397"/>
    <w:rsid w:val="008A3A5D"/>
    <w:rsid w:val="008A627A"/>
    <w:rsid w:val="008A6BBD"/>
    <w:rsid w:val="008B04B3"/>
    <w:rsid w:val="008B2205"/>
    <w:rsid w:val="008B402E"/>
    <w:rsid w:val="008B5CF6"/>
    <w:rsid w:val="008C4FC0"/>
    <w:rsid w:val="008D17AF"/>
    <w:rsid w:val="008D4C93"/>
    <w:rsid w:val="008D6D23"/>
    <w:rsid w:val="008E228A"/>
    <w:rsid w:val="008E425D"/>
    <w:rsid w:val="008E6760"/>
    <w:rsid w:val="008F1B97"/>
    <w:rsid w:val="008F3EE4"/>
    <w:rsid w:val="008F56F1"/>
    <w:rsid w:val="008F5E82"/>
    <w:rsid w:val="008F726A"/>
    <w:rsid w:val="0090073F"/>
    <w:rsid w:val="00903763"/>
    <w:rsid w:val="00904807"/>
    <w:rsid w:val="0090690F"/>
    <w:rsid w:val="00906932"/>
    <w:rsid w:val="00906B76"/>
    <w:rsid w:val="00910B6C"/>
    <w:rsid w:val="009130B9"/>
    <w:rsid w:val="00914617"/>
    <w:rsid w:val="0091757C"/>
    <w:rsid w:val="00917FB4"/>
    <w:rsid w:val="00921880"/>
    <w:rsid w:val="0092406A"/>
    <w:rsid w:val="00924E3B"/>
    <w:rsid w:val="009273D1"/>
    <w:rsid w:val="00931E83"/>
    <w:rsid w:val="00934B2E"/>
    <w:rsid w:val="009366FD"/>
    <w:rsid w:val="009376B6"/>
    <w:rsid w:val="00940D69"/>
    <w:rsid w:val="00942B51"/>
    <w:rsid w:val="00947B82"/>
    <w:rsid w:val="0095102A"/>
    <w:rsid w:val="00951C7B"/>
    <w:rsid w:val="0095511E"/>
    <w:rsid w:val="00955693"/>
    <w:rsid w:val="009575B3"/>
    <w:rsid w:val="00960185"/>
    <w:rsid w:val="00960430"/>
    <w:rsid w:val="00961D8C"/>
    <w:rsid w:val="00964280"/>
    <w:rsid w:val="009653EB"/>
    <w:rsid w:val="0096766D"/>
    <w:rsid w:val="00967754"/>
    <w:rsid w:val="009678C0"/>
    <w:rsid w:val="0097063B"/>
    <w:rsid w:val="0097210F"/>
    <w:rsid w:val="00972DD5"/>
    <w:rsid w:val="00973B8F"/>
    <w:rsid w:val="0097472F"/>
    <w:rsid w:val="009752B5"/>
    <w:rsid w:val="00985020"/>
    <w:rsid w:val="009859BF"/>
    <w:rsid w:val="00986B92"/>
    <w:rsid w:val="00990CD0"/>
    <w:rsid w:val="00992C45"/>
    <w:rsid w:val="00994C26"/>
    <w:rsid w:val="00995AED"/>
    <w:rsid w:val="00995C22"/>
    <w:rsid w:val="00996283"/>
    <w:rsid w:val="00996743"/>
    <w:rsid w:val="009A08F6"/>
    <w:rsid w:val="009A4D6E"/>
    <w:rsid w:val="009B0366"/>
    <w:rsid w:val="009B298A"/>
    <w:rsid w:val="009B347D"/>
    <w:rsid w:val="009B54F0"/>
    <w:rsid w:val="009B5C84"/>
    <w:rsid w:val="009B6512"/>
    <w:rsid w:val="009B7151"/>
    <w:rsid w:val="009B7357"/>
    <w:rsid w:val="009C20E4"/>
    <w:rsid w:val="009C36FC"/>
    <w:rsid w:val="009C7044"/>
    <w:rsid w:val="009D4FB8"/>
    <w:rsid w:val="009E3486"/>
    <w:rsid w:val="009E5C1B"/>
    <w:rsid w:val="009E65E0"/>
    <w:rsid w:val="009F50E8"/>
    <w:rsid w:val="009F6652"/>
    <w:rsid w:val="009F7246"/>
    <w:rsid w:val="009F7505"/>
    <w:rsid w:val="009F7D1D"/>
    <w:rsid w:val="00A0047B"/>
    <w:rsid w:val="00A05ED2"/>
    <w:rsid w:val="00A06331"/>
    <w:rsid w:val="00A06DA1"/>
    <w:rsid w:val="00A14F6A"/>
    <w:rsid w:val="00A15929"/>
    <w:rsid w:val="00A21DC0"/>
    <w:rsid w:val="00A21F6F"/>
    <w:rsid w:val="00A2391F"/>
    <w:rsid w:val="00A25334"/>
    <w:rsid w:val="00A261B2"/>
    <w:rsid w:val="00A26654"/>
    <w:rsid w:val="00A3259E"/>
    <w:rsid w:val="00A33A99"/>
    <w:rsid w:val="00A40ADA"/>
    <w:rsid w:val="00A41BDF"/>
    <w:rsid w:val="00A43ECC"/>
    <w:rsid w:val="00A45529"/>
    <w:rsid w:val="00A46651"/>
    <w:rsid w:val="00A467EF"/>
    <w:rsid w:val="00A46D20"/>
    <w:rsid w:val="00A51D8F"/>
    <w:rsid w:val="00A526DC"/>
    <w:rsid w:val="00A52B9A"/>
    <w:rsid w:val="00A53050"/>
    <w:rsid w:val="00A5446E"/>
    <w:rsid w:val="00A54674"/>
    <w:rsid w:val="00A5507A"/>
    <w:rsid w:val="00A57FB4"/>
    <w:rsid w:val="00A6000E"/>
    <w:rsid w:val="00A60286"/>
    <w:rsid w:val="00A6156A"/>
    <w:rsid w:val="00A61987"/>
    <w:rsid w:val="00A66C66"/>
    <w:rsid w:val="00A673AF"/>
    <w:rsid w:val="00A71079"/>
    <w:rsid w:val="00A7286D"/>
    <w:rsid w:val="00A73DEC"/>
    <w:rsid w:val="00A7763C"/>
    <w:rsid w:val="00A8359B"/>
    <w:rsid w:val="00A86EE1"/>
    <w:rsid w:val="00A879C1"/>
    <w:rsid w:val="00A97F30"/>
    <w:rsid w:val="00AA056C"/>
    <w:rsid w:val="00AA1890"/>
    <w:rsid w:val="00AA3165"/>
    <w:rsid w:val="00AA34AB"/>
    <w:rsid w:val="00AA64AC"/>
    <w:rsid w:val="00AA6B53"/>
    <w:rsid w:val="00AB30DA"/>
    <w:rsid w:val="00AB364D"/>
    <w:rsid w:val="00AB527C"/>
    <w:rsid w:val="00AC0C91"/>
    <w:rsid w:val="00AC5C7C"/>
    <w:rsid w:val="00AC664A"/>
    <w:rsid w:val="00AC678B"/>
    <w:rsid w:val="00AC6A7B"/>
    <w:rsid w:val="00AD0147"/>
    <w:rsid w:val="00AD11BE"/>
    <w:rsid w:val="00AD2316"/>
    <w:rsid w:val="00AD33A9"/>
    <w:rsid w:val="00AD5147"/>
    <w:rsid w:val="00AD5BF8"/>
    <w:rsid w:val="00AF0C8A"/>
    <w:rsid w:val="00AF19FD"/>
    <w:rsid w:val="00AF3E56"/>
    <w:rsid w:val="00B00771"/>
    <w:rsid w:val="00B022B0"/>
    <w:rsid w:val="00B02531"/>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2C19"/>
    <w:rsid w:val="00B54900"/>
    <w:rsid w:val="00B6655A"/>
    <w:rsid w:val="00B67A2C"/>
    <w:rsid w:val="00B7156C"/>
    <w:rsid w:val="00B72322"/>
    <w:rsid w:val="00B73549"/>
    <w:rsid w:val="00B736DB"/>
    <w:rsid w:val="00B74A73"/>
    <w:rsid w:val="00B75DE7"/>
    <w:rsid w:val="00B82157"/>
    <w:rsid w:val="00B83198"/>
    <w:rsid w:val="00B847E3"/>
    <w:rsid w:val="00B862E6"/>
    <w:rsid w:val="00B869C9"/>
    <w:rsid w:val="00B9138C"/>
    <w:rsid w:val="00BA0C02"/>
    <w:rsid w:val="00BA257B"/>
    <w:rsid w:val="00BA6D9D"/>
    <w:rsid w:val="00BB0848"/>
    <w:rsid w:val="00BC1231"/>
    <w:rsid w:val="00BC2CA8"/>
    <w:rsid w:val="00BC425B"/>
    <w:rsid w:val="00BC6AC0"/>
    <w:rsid w:val="00BC7474"/>
    <w:rsid w:val="00BD40F9"/>
    <w:rsid w:val="00BE3097"/>
    <w:rsid w:val="00BE5589"/>
    <w:rsid w:val="00BE5877"/>
    <w:rsid w:val="00BF09AE"/>
    <w:rsid w:val="00BF39F9"/>
    <w:rsid w:val="00BF3ECA"/>
    <w:rsid w:val="00BF688C"/>
    <w:rsid w:val="00BF72ED"/>
    <w:rsid w:val="00BF7555"/>
    <w:rsid w:val="00C00387"/>
    <w:rsid w:val="00C02FC6"/>
    <w:rsid w:val="00C03B35"/>
    <w:rsid w:val="00C041F2"/>
    <w:rsid w:val="00C0482A"/>
    <w:rsid w:val="00C11889"/>
    <w:rsid w:val="00C13908"/>
    <w:rsid w:val="00C15485"/>
    <w:rsid w:val="00C17329"/>
    <w:rsid w:val="00C173DD"/>
    <w:rsid w:val="00C20262"/>
    <w:rsid w:val="00C2627D"/>
    <w:rsid w:val="00C26812"/>
    <w:rsid w:val="00C27441"/>
    <w:rsid w:val="00C32C4F"/>
    <w:rsid w:val="00C346EF"/>
    <w:rsid w:val="00C35BB2"/>
    <w:rsid w:val="00C4122B"/>
    <w:rsid w:val="00C42941"/>
    <w:rsid w:val="00C434EE"/>
    <w:rsid w:val="00C4614C"/>
    <w:rsid w:val="00C46947"/>
    <w:rsid w:val="00C511C3"/>
    <w:rsid w:val="00C517B2"/>
    <w:rsid w:val="00C51F7E"/>
    <w:rsid w:val="00C57E8F"/>
    <w:rsid w:val="00C57E99"/>
    <w:rsid w:val="00C60577"/>
    <w:rsid w:val="00C61253"/>
    <w:rsid w:val="00C615A3"/>
    <w:rsid w:val="00C61DA2"/>
    <w:rsid w:val="00C63640"/>
    <w:rsid w:val="00C63738"/>
    <w:rsid w:val="00C6672C"/>
    <w:rsid w:val="00C66AB9"/>
    <w:rsid w:val="00C70728"/>
    <w:rsid w:val="00C74D98"/>
    <w:rsid w:val="00C75249"/>
    <w:rsid w:val="00C7550D"/>
    <w:rsid w:val="00C764BE"/>
    <w:rsid w:val="00C8134F"/>
    <w:rsid w:val="00C81B8D"/>
    <w:rsid w:val="00C86E8F"/>
    <w:rsid w:val="00C8776C"/>
    <w:rsid w:val="00C87AA6"/>
    <w:rsid w:val="00C911E6"/>
    <w:rsid w:val="00C92F62"/>
    <w:rsid w:val="00C96911"/>
    <w:rsid w:val="00CA02DA"/>
    <w:rsid w:val="00CA068D"/>
    <w:rsid w:val="00CA19A6"/>
    <w:rsid w:val="00CA2076"/>
    <w:rsid w:val="00CA35BE"/>
    <w:rsid w:val="00CB783F"/>
    <w:rsid w:val="00CB7F56"/>
    <w:rsid w:val="00CB7FC3"/>
    <w:rsid w:val="00CC27D2"/>
    <w:rsid w:val="00CC38B9"/>
    <w:rsid w:val="00CC4037"/>
    <w:rsid w:val="00CC5522"/>
    <w:rsid w:val="00CC65C4"/>
    <w:rsid w:val="00CC6F0B"/>
    <w:rsid w:val="00CD0187"/>
    <w:rsid w:val="00CD36A0"/>
    <w:rsid w:val="00CE3B51"/>
    <w:rsid w:val="00CE523D"/>
    <w:rsid w:val="00CE55EC"/>
    <w:rsid w:val="00CF14C1"/>
    <w:rsid w:val="00CF26D3"/>
    <w:rsid w:val="00CF4DBB"/>
    <w:rsid w:val="00D017BD"/>
    <w:rsid w:val="00D023DA"/>
    <w:rsid w:val="00D02697"/>
    <w:rsid w:val="00D0444B"/>
    <w:rsid w:val="00D06490"/>
    <w:rsid w:val="00D064CE"/>
    <w:rsid w:val="00D11153"/>
    <w:rsid w:val="00D12557"/>
    <w:rsid w:val="00D1272A"/>
    <w:rsid w:val="00D12E8E"/>
    <w:rsid w:val="00D151C0"/>
    <w:rsid w:val="00D16F51"/>
    <w:rsid w:val="00D21A4D"/>
    <w:rsid w:val="00D24F6E"/>
    <w:rsid w:val="00D257BE"/>
    <w:rsid w:val="00D30E7D"/>
    <w:rsid w:val="00D343A0"/>
    <w:rsid w:val="00D34C6B"/>
    <w:rsid w:val="00D34E8E"/>
    <w:rsid w:val="00D354FF"/>
    <w:rsid w:val="00D37796"/>
    <w:rsid w:val="00D37E2D"/>
    <w:rsid w:val="00D40D2C"/>
    <w:rsid w:val="00D40E6A"/>
    <w:rsid w:val="00D44ABB"/>
    <w:rsid w:val="00D46057"/>
    <w:rsid w:val="00D46FF9"/>
    <w:rsid w:val="00D5163C"/>
    <w:rsid w:val="00D52AC6"/>
    <w:rsid w:val="00D532D8"/>
    <w:rsid w:val="00D5399A"/>
    <w:rsid w:val="00D570CB"/>
    <w:rsid w:val="00D609A0"/>
    <w:rsid w:val="00D60F47"/>
    <w:rsid w:val="00D650C5"/>
    <w:rsid w:val="00D66FB6"/>
    <w:rsid w:val="00D71B39"/>
    <w:rsid w:val="00D76C20"/>
    <w:rsid w:val="00D825B7"/>
    <w:rsid w:val="00D82F11"/>
    <w:rsid w:val="00D876C3"/>
    <w:rsid w:val="00D90EFC"/>
    <w:rsid w:val="00D9144C"/>
    <w:rsid w:val="00D921B3"/>
    <w:rsid w:val="00D95FDD"/>
    <w:rsid w:val="00DA02E9"/>
    <w:rsid w:val="00DB1522"/>
    <w:rsid w:val="00DB1586"/>
    <w:rsid w:val="00DB5217"/>
    <w:rsid w:val="00DB5BBA"/>
    <w:rsid w:val="00DB6A2A"/>
    <w:rsid w:val="00DB6F92"/>
    <w:rsid w:val="00DB746E"/>
    <w:rsid w:val="00DC0BB1"/>
    <w:rsid w:val="00DC15D0"/>
    <w:rsid w:val="00DC19F6"/>
    <w:rsid w:val="00DC3266"/>
    <w:rsid w:val="00DC4A4E"/>
    <w:rsid w:val="00DC4ABD"/>
    <w:rsid w:val="00DC4AE4"/>
    <w:rsid w:val="00DD492B"/>
    <w:rsid w:val="00DD5688"/>
    <w:rsid w:val="00DD7777"/>
    <w:rsid w:val="00DE5B4A"/>
    <w:rsid w:val="00DE686A"/>
    <w:rsid w:val="00DF16A6"/>
    <w:rsid w:val="00DF1D7F"/>
    <w:rsid w:val="00DF35B7"/>
    <w:rsid w:val="00DF4CBE"/>
    <w:rsid w:val="00DF5944"/>
    <w:rsid w:val="00DF6A36"/>
    <w:rsid w:val="00DF6F4B"/>
    <w:rsid w:val="00E00827"/>
    <w:rsid w:val="00E01423"/>
    <w:rsid w:val="00E02E94"/>
    <w:rsid w:val="00E03E19"/>
    <w:rsid w:val="00E04A68"/>
    <w:rsid w:val="00E1671E"/>
    <w:rsid w:val="00E21091"/>
    <w:rsid w:val="00E23431"/>
    <w:rsid w:val="00E23AEF"/>
    <w:rsid w:val="00E24278"/>
    <w:rsid w:val="00E31D2B"/>
    <w:rsid w:val="00E33217"/>
    <w:rsid w:val="00E4065A"/>
    <w:rsid w:val="00E4373E"/>
    <w:rsid w:val="00E504DF"/>
    <w:rsid w:val="00E506F7"/>
    <w:rsid w:val="00E53849"/>
    <w:rsid w:val="00E549BF"/>
    <w:rsid w:val="00E54C7F"/>
    <w:rsid w:val="00E54E77"/>
    <w:rsid w:val="00E55201"/>
    <w:rsid w:val="00E605AD"/>
    <w:rsid w:val="00E610CD"/>
    <w:rsid w:val="00E6164B"/>
    <w:rsid w:val="00E61E35"/>
    <w:rsid w:val="00E620F0"/>
    <w:rsid w:val="00E6342F"/>
    <w:rsid w:val="00E63D06"/>
    <w:rsid w:val="00E63D0C"/>
    <w:rsid w:val="00E66F2D"/>
    <w:rsid w:val="00E7010F"/>
    <w:rsid w:val="00E7138B"/>
    <w:rsid w:val="00E72446"/>
    <w:rsid w:val="00E72A6D"/>
    <w:rsid w:val="00E7570C"/>
    <w:rsid w:val="00E76BF9"/>
    <w:rsid w:val="00E83179"/>
    <w:rsid w:val="00E857D6"/>
    <w:rsid w:val="00E87949"/>
    <w:rsid w:val="00E902D8"/>
    <w:rsid w:val="00E92655"/>
    <w:rsid w:val="00E93A94"/>
    <w:rsid w:val="00E942B4"/>
    <w:rsid w:val="00E9507B"/>
    <w:rsid w:val="00E952C6"/>
    <w:rsid w:val="00E95564"/>
    <w:rsid w:val="00E96397"/>
    <w:rsid w:val="00EA0DE3"/>
    <w:rsid w:val="00EA19CA"/>
    <w:rsid w:val="00EA4E56"/>
    <w:rsid w:val="00EA59D9"/>
    <w:rsid w:val="00EA72B0"/>
    <w:rsid w:val="00EB1D33"/>
    <w:rsid w:val="00EB27C4"/>
    <w:rsid w:val="00EB507D"/>
    <w:rsid w:val="00EB5655"/>
    <w:rsid w:val="00EC02C5"/>
    <w:rsid w:val="00EC11AE"/>
    <w:rsid w:val="00EC2776"/>
    <w:rsid w:val="00EC33BF"/>
    <w:rsid w:val="00ED129B"/>
    <w:rsid w:val="00ED23BE"/>
    <w:rsid w:val="00ED3D6B"/>
    <w:rsid w:val="00EE44E1"/>
    <w:rsid w:val="00EE45FA"/>
    <w:rsid w:val="00EE50E8"/>
    <w:rsid w:val="00EE7156"/>
    <w:rsid w:val="00EE7A06"/>
    <w:rsid w:val="00EF3DBD"/>
    <w:rsid w:val="00EF7676"/>
    <w:rsid w:val="00F02640"/>
    <w:rsid w:val="00F03672"/>
    <w:rsid w:val="00F0453D"/>
    <w:rsid w:val="00F04D96"/>
    <w:rsid w:val="00F071D0"/>
    <w:rsid w:val="00F101E2"/>
    <w:rsid w:val="00F121A8"/>
    <w:rsid w:val="00F12B6B"/>
    <w:rsid w:val="00F14571"/>
    <w:rsid w:val="00F15CC9"/>
    <w:rsid w:val="00F16BC6"/>
    <w:rsid w:val="00F16C6C"/>
    <w:rsid w:val="00F16E72"/>
    <w:rsid w:val="00F170BD"/>
    <w:rsid w:val="00F1719C"/>
    <w:rsid w:val="00F1724A"/>
    <w:rsid w:val="00F17476"/>
    <w:rsid w:val="00F177A8"/>
    <w:rsid w:val="00F22005"/>
    <w:rsid w:val="00F2781D"/>
    <w:rsid w:val="00F27845"/>
    <w:rsid w:val="00F27CE8"/>
    <w:rsid w:val="00F30F45"/>
    <w:rsid w:val="00F33C84"/>
    <w:rsid w:val="00F35C33"/>
    <w:rsid w:val="00F35ED6"/>
    <w:rsid w:val="00F36831"/>
    <w:rsid w:val="00F406A0"/>
    <w:rsid w:val="00F44916"/>
    <w:rsid w:val="00F44D94"/>
    <w:rsid w:val="00F53251"/>
    <w:rsid w:val="00F7085F"/>
    <w:rsid w:val="00F7163D"/>
    <w:rsid w:val="00F73FE1"/>
    <w:rsid w:val="00F76E62"/>
    <w:rsid w:val="00F77169"/>
    <w:rsid w:val="00F77A7A"/>
    <w:rsid w:val="00F81750"/>
    <w:rsid w:val="00F84368"/>
    <w:rsid w:val="00F868AF"/>
    <w:rsid w:val="00F9083A"/>
    <w:rsid w:val="00F90C66"/>
    <w:rsid w:val="00F91E06"/>
    <w:rsid w:val="00F93BD5"/>
    <w:rsid w:val="00F9630E"/>
    <w:rsid w:val="00F97FCA"/>
    <w:rsid w:val="00FA3443"/>
    <w:rsid w:val="00FA573F"/>
    <w:rsid w:val="00FA6051"/>
    <w:rsid w:val="00FA713D"/>
    <w:rsid w:val="00FB06F8"/>
    <w:rsid w:val="00FB4195"/>
    <w:rsid w:val="00FB5FB0"/>
    <w:rsid w:val="00FC7CC4"/>
    <w:rsid w:val="00FD1A10"/>
    <w:rsid w:val="00FD23D7"/>
    <w:rsid w:val="00FD2D49"/>
    <w:rsid w:val="00FD5B9A"/>
    <w:rsid w:val="00FD7589"/>
    <w:rsid w:val="00FD7A0B"/>
    <w:rsid w:val="00FE07A3"/>
    <w:rsid w:val="00FE0DA1"/>
    <w:rsid w:val="00FE56EE"/>
    <w:rsid w:val="00FE6B58"/>
    <w:rsid w:val="00FE7140"/>
    <w:rsid w:val="00FF0F8A"/>
    <w:rsid w:val="00FF28BB"/>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AD792AF0-9782-45A2-9B85-6D39D0D7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link w:val="Prrafodelista"/>
    <w:uiPriority w:val="72"/>
    <w:qFormat/>
    <w:locked/>
    <w:rsid w:val="00235E34"/>
  </w:style>
  <w:style w:type="character" w:customStyle="1" w:styleId="red">
    <w:name w:val="red"/>
    <w:basedOn w:val="Fuentedeprrafopredeter"/>
    <w:rsid w:val="006A01D8"/>
  </w:style>
  <w:style w:type="paragraph" w:styleId="Sinespaciado">
    <w:name w:val="No Spacing"/>
    <w:aliases w:val="Francesa"/>
    <w:link w:val="SinespaciadoCar"/>
    <w:uiPriority w:val="1"/>
    <w:qFormat/>
    <w:rsid w:val="00EC02C5"/>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EC02C5"/>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DIL/access_to_information_background.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E8248-16A2-4348-91B0-D12C9605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9</Pages>
  <Words>2505</Words>
  <Characters>13778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cp:lastModifiedBy>
  <cp:revision>193</cp:revision>
  <cp:lastPrinted>2018-11-27T15:40:00Z</cp:lastPrinted>
  <dcterms:created xsi:type="dcterms:W3CDTF">2017-03-15T20:55:00Z</dcterms:created>
  <dcterms:modified xsi:type="dcterms:W3CDTF">2018-11-27T15:40:00Z</dcterms:modified>
</cp:coreProperties>
</file>